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D82A1" w14:textId="77777777" w:rsidR="005727B1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国家标准《工业三聚磷酸钠》编制说明</w:t>
      </w:r>
    </w:p>
    <w:p w14:paraId="45792B09" w14:textId="056571AA" w:rsidR="005727B1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</w:t>
      </w:r>
      <w:r w:rsidR="00AE39EB">
        <w:rPr>
          <w:rFonts w:hint="eastAsia"/>
          <w:b/>
          <w:sz w:val="32"/>
          <w:szCs w:val="32"/>
        </w:rPr>
        <w:t>送审</w:t>
      </w:r>
      <w:r>
        <w:rPr>
          <w:rFonts w:hint="eastAsia"/>
          <w:b/>
          <w:sz w:val="32"/>
          <w:szCs w:val="32"/>
        </w:rPr>
        <w:t>稿）</w:t>
      </w:r>
    </w:p>
    <w:p w14:paraId="5474DC39" w14:textId="77777777" w:rsidR="005727B1" w:rsidRDefault="00000000">
      <w:pPr>
        <w:pStyle w:val="1"/>
        <w:numPr>
          <w:ilvl w:val="0"/>
          <w:numId w:val="2"/>
        </w:numPr>
        <w:spacing w:line="240" w:lineRule="auto"/>
        <w:rPr>
          <w:b/>
          <w:bCs w:val="0"/>
          <w:sz w:val="21"/>
          <w:szCs w:val="21"/>
        </w:rPr>
      </w:pPr>
      <w:r>
        <w:rPr>
          <w:rFonts w:hint="eastAsia"/>
          <w:b/>
          <w:bCs w:val="0"/>
          <w:sz w:val="21"/>
          <w:szCs w:val="21"/>
        </w:rPr>
        <w:t>工作概况</w:t>
      </w:r>
    </w:p>
    <w:p w14:paraId="22315C63" w14:textId="77777777" w:rsidR="005727B1" w:rsidRDefault="00000000">
      <w:pPr>
        <w:rPr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、任务来源</w:t>
      </w:r>
    </w:p>
    <w:p w14:paraId="5AB20819" w14:textId="77777777" w:rsidR="005727B1" w:rsidRDefault="00000000">
      <w:pPr>
        <w:ind w:firstLineChars="175" w:firstLine="368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本项目是国家标准化管理委员会</w:t>
      </w:r>
      <w:r>
        <w:rPr>
          <w:rFonts w:hAnsi="宋体" w:hint="eastAsia"/>
          <w:szCs w:val="21"/>
        </w:rPr>
        <w:t>2025</w:t>
      </w:r>
      <w:r>
        <w:rPr>
          <w:rFonts w:hAnsi="宋体" w:hint="eastAsia"/>
          <w:szCs w:val="21"/>
        </w:rPr>
        <w:t>年国家标准制修订项目，计划编号为</w:t>
      </w:r>
      <w:r>
        <w:rPr>
          <w:rFonts w:hAnsi="宋体" w:hint="eastAsia"/>
          <w:szCs w:val="21"/>
        </w:rPr>
        <w:t>20242594-T-607</w:t>
      </w:r>
      <w:r>
        <w:rPr>
          <w:rFonts w:hAnsi="宋体" w:hint="eastAsia"/>
          <w:szCs w:val="21"/>
        </w:rPr>
        <w:t>，项目名称《工业三聚磷酸钠》，修订</w:t>
      </w:r>
      <w:r>
        <w:rPr>
          <w:rFonts w:hAnsi="宋体" w:hint="eastAsia"/>
          <w:szCs w:val="21"/>
        </w:rPr>
        <w:t>GB/T 9983-2004</w:t>
      </w:r>
      <w:r>
        <w:rPr>
          <w:rFonts w:hAnsi="宋体" w:hint="eastAsia"/>
          <w:szCs w:val="21"/>
        </w:rPr>
        <w:t>《工业三聚磷酸钠》。主要起草单位：中国地质调查局廊坊自然资源综合调查中心等，项目实施周期</w:t>
      </w:r>
      <w:r>
        <w:rPr>
          <w:rFonts w:hAnsi="宋体" w:hint="eastAsia"/>
          <w:szCs w:val="21"/>
        </w:rPr>
        <w:t>16</w:t>
      </w:r>
      <w:r>
        <w:rPr>
          <w:rFonts w:hAnsi="宋体" w:hint="eastAsia"/>
          <w:szCs w:val="21"/>
        </w:rPr>
        <w:t>个月。</w:t>
      </w:r>
    </w:p>
    <w:p w14:paraId="7AED8184" w14:textId="77777777" w:rsidR="005727B1" w:rsidRDefault="00000000">
      <w:pPr>
        <w:numPr>
          <w:ilvl w:val="0"/>
          <w:numId w:val="3"/>
        </w:numPr>
        <w:rPr>
          <w:rFonts w:hAnsi="宋体" w:hint="eastAsia"/>
          <w:b/>
          <w:bCs/>
          <w:szCs w:val="21"/>
        </w:rPr>
      </w:pPr>
      <w:r>
        <w:rPr>
          <w:rFonts w:hAnsi="宋体" w:hint="eastAsia"/>
          <w:b/>
          <w:bCs/>
          <w:szCs w:val="21"/>
        </w:rPr>
        <w:t>主要工作过程</w:t>
      </w:r>
    </w:p>
    <w:p w14:paraId="048EAE60" w14:textId="77777777" w:rsidR="005727B1" w:rsidRDefault="00000000">
      <w:pPr>
        <w:ind w:firstLineChars="200" w:firstLine="422"/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起草阶段：</w:t>
      </w:r>
    </w:p>
    <w:p w14:paraId="70C45171" w14:textId="77777777" w:rsidR="005727B1" w:rsidRDefault="00000000">
      <w:pPr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项目下达后，标委会秘书处组织参加起草单位成立标准制定工作组，对当前</w:t>
      </w:r>
      <w:r>
        <w:rPr>
          <w:rFonts w:hint="eastAsia"/>
        </w:rPr>
        <w:t>三聚磷酸钠产品</w:t>
      </w:r>
      <w:r>
        <w:rPr>
          <w:rFonts w:ascii="宋体" w:hAnsi="宋体" w:hint="eastAsia"/>
        </w:rPr>
        <w:t>进行了调研，并且检索了国内外技术资料。在此基础上编制出《</w:t>
      </w:r>
      <w:r>
        <w:rPr>
          <w:rFonts w:hint="eastAsia"/>
        </w:rPr>
        <w:t>工业三聚磷酸钠</w:t>
      </w:r>
      <w:r>
        <w:rPr>
          <w:rFonts w:ascii="宋体" w:hAnsi="宋体" w:hint="eastAsia"/>
        </w:rPr>
        <w:t>》标准征求意见稿，报标委会秘书处。</w:t>
      </w:r>
    </w:p>
    <w:p w14:paraId="36756193" w14:textId="77777777" w:rsidR="005727B1" w:rsidRDefault="00000000">
      <w:pPr>
        <w:ind w:leftChars="1" w:left="2" w:firstLineChars="200" w:firstLine="422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征求意见阶段：</w:t>
      </w:r>
    </w:p>
    <w:p w14:paraId="1E185028" w14:textId="77777777" w:rsidR="00720AE8" w:rsidRDefault="00720AE8" w:rsidP="00720AE8">
      <w:pPr>
        <w:ind w:leftChars="1" w:left="2" w:firstLineChars="200" w:firstLine="420"/>
        <w:rPr>
          <w:rFonts w:ascii="宋体" w:hAnsi="宋体" w:hint="eastAsia"/>
          <w:szCs w:val="21"/>
        </w:rPr>
      </w:pPr>
      <w:r w:rsidRPr="00FD47C9">
        <w:rPr>
          <w:rFonts w:ascii="宋体" w:hAnsi="宋体" w:hint="eastAsia"/>
          <w:szCs w:val="21"/>
        </w:rPr>
        <w:t>2025年3月末安排为期2个月的网上公开向社会意见，并在4月28日SAC/TC272第四届四次会议上向全体</w:t>
      </w:r>
      <w:proofErr w:type="gramStart"/>
      <w:r w:rsidRPr="00FD47C9">
        <w:rPr>
          <w:rFonts w:ascii="宋体" w:hAnsi="宋体" w:hint="eastAsia"/>
          <w:szCs w:val="21"/>
        </w:rPr>
        <w:t>参会委员</w:t>
      </w:r>
      <w:proofErr w:type="gramEnd"/>
      <w:r w:rsidRPr="00FD47C9">
        <w:rPr>
          <w:rFonts w:ascii="宋体" w:hAnsi="宋体" w:hint="eastAsia"/>
          <w:szCs w:val="21"/>
        </w:rPr>
        <w:t>和代表进行解读和征求意见。根据所收集的意见形成送审稿。</w:t>
      </w:r>
    </w:p>
    <w:p w14:paraId="502D1241" w14:textId="77777777" w:rsidR="005727B1" w:rsidRDefault="005727B1">
      <w:pPr>
        <w:ind w:leftChars="1" w:left="2" w:firstLine="420"/>
        <w:rPr>
          <w:rFonts w:ascii="宋体" w:hAnsi="宋体" w:hint="eastAsia"/>
          <w:szCs w:val="21"/>
        </w:rPr>
      </w:pPr>
    </w:p>
    <w:p w14:paraId="6C2216E3" w14:textId="77777777" w:rsidR="005727B1" w:rsidRDefault="005727B1">
      <w:pPr>
        <w:ind w:leftChars="1" w:left="2" w:firstLineChars="200" w:firstLine="420"/>
        <w:rPr>
          <w:rFonts w:ascii="宋体" w:hAnsi="宋体" w:hint="eastAsia"/>
          <w:szCs w:val="21"/>
        </w:rPr>
      </w:pPr>
    </w:p>
    <w:p w14:paraId="72D4E30B" w14:textId="77777777" w:rsidR="005727B1" w:rsidRDefault="005727B1">
      <w:pPr>
        <w:ind w:leftChars="1" w:left="2" w:firstLineChars="200" w:firstLine="420"/>
        <w:rPr>
          <w:rFonts w:ascii="宋体" w:hAnsi="宋体" w:hint="eastAsia"/>
          <w:szCs w:val="21"/>
        </w:rPr>
      </w:pPr>
    </w:p>
    <w:p w14:paraId="6C172271" w14:textId="77777777" w:rsidR="005727B1" w:rsidRDefault="00000000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3、主要参加单位和工作组成员及其所作的工作</w:t>
      </w:r>
    </w:p>
    <w:p w14:paraId="4E913639" w14:textId="77777777" w:rsidR="005727B1" w:rsidRDefault="005727B1">
      <w:pPr>
        <w:ind w:firstLineChars="200" w:firstLine="420"/>
        <w:rPr>
          <w:rFonts w:ascii="宋体" w:hAnsi="宋体" w:hint="eastAsia"/>
        </w:rPr>
      </w:pPr>
    </w:p>
    <w:p w14:paraId="33D9F536" w14:textId="77777777" w:rsidR="005727B1" w:rsidRDefault="005727B1">
      <w:pPr>
        <w:ind w:firstLineChars="200" w:firstLine="420"/>
        <w:rPr>
          <w:rFonts w:ascii="宋体" w:hAnsi="宋体" w:hint="eastAsia"/>
        </w:rPr>
      </w:pPr>
    </w:p>
    <w:p w14:paraId="4BA0DD8D" w14:textId="77777777" w:rsidR="005727B1" w:rsidRDefault="005727B1">
      <w:pPr>
        <w:ind w:firstLineChars="200" w:firstLine="420"/>
        <w:rPr>
          <w:rFonts w:hAnsi="宋体" w:hint="eastAsia"/>
          <w:szCs w:val="21"/>
        </w:rPr>
      </w:pPr>
    </w:p>
    <w:p w14:paraId="75604841" w14:textId="77777777" w:rsidR="005727B1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标准编制原则和主要内容</w:t>
      </w:r>
    </w:p>
    <w:p w14:paraId="09C0E43F" w14:textId="77777777" w:rsidR="005727B1" w:rsidRDefault="00000000">
      <w:pPr>
        <w:rPr>
          <w:b/>
          <w:szCs w:val="21"/>
        </w:rPr>
      </w:pPr>
      <w:r>
        <w:rPr>
          <w:b/>
          <w:szCs w:val="21"/>
        </w:rPr>
        <w:t>1</w:t>
      </w:r>
      <w:r>
        <w:rPr>
          <w:rFonts w:hint="eastAsia"/>
          <w:b/>
          <w:szCs w:val="21"/>
        </w:rPr>
        <w:t>、标准编制原则</w:t>
      </w:r>
    </w:p>
    <w:p w14:paraId="4800F777" w14:textId="77777777" w:rsidR="005727B1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本标准的制定符合产业发展的原则，本着先进性、科学性、合理性和可操作性的原则以及标准的目标、统一性、协调性、适用性、一致性和规范性原则来进行本标准的制定工作。</w:t>
      </w:r>
    </w:p>
    <w:p w14:paraId="68225B02" w14:textId="77777777" w:rsidR="005727B1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本标准起草过程中，主要按</w:t>
      </w:r>
      <w:r>
        <w:t>GB/T 1.1</w:t>
      </w:r>
      <w:r>
        <w:t>－</w:t>
      </w:r>
      <w:r>
        <w:t>2020</w:t>
      </w:r>
      <w:r>
        <w:rPr>
          <w:rFonts w:hAnsi="宋体"/>
        </w:rPr>
        <w:t>《标准化工作导则</w:t>
      </w:r>
      <w:r>
        <w:t xml:space="preserve"> </w:t>
      </w:r>
      <w:r>
        <w:rPr>
          <w:rFonts w:hAnsi="宋体"/>
        </w:rPr>
        <w:t>第</w:t>
      </w:r>
      <w:r>
        <w:t>1</w:t>
      </w:r>
      <w:r>
        <w:rPr>
          <w:rFonts w:hAnsi="宋体"/>
        </w:rPr>
        <w:t>部分：标准化文件的结构和起草规则》进行编写。本标准</w:t>
      </w:r>
      <w:r>
        <w:rPr>
          <w:rFonts w:ascii="宋体" w:hAnsi="宋体" w:hint="eastAsia"/>
        </w:rPr>
        <w:t>制定</w:t>
      </w:r>
      <w:r>
        <w:rPr>
          <w:rFonts w:hAnsi="宋体"/>
        </w:rPr>
        <w:t>过程中，主要参考了以下标准或文件：</w:t>
      </w:r>
    </w:p>
    <w:p w14:paraId="090A4036" w14:textId="77777777" w:rsidR="005727B1" w:rsidRDefault="00000000">
      <w:pPr>
        <w:ind w:firstLineChars="200" w:firstLine="420"/>
      </w:pPr>
      <w:r>
        <w:rPr>
          <w:rFonts w:hint="eastAsia"/>
        </w:rPr>
        <w:t xml:space="preserve">GB/T 6678  </w:t>
      </w:r>
      <w:r>
        <w:rPr>
          <w:rFonts w:hint="eastAsia"/>
        </w:rPr>
        <w:t>化工产品采样总则</w:t>
      </w:r>
    </w:p>
    <w:p w14:paraId="694DFAFB" w14:textId="77777777" w:rsidR="005727B1" w:rsidRDefault="00000000">
      <w:pPr>
        <w:ind w:firstLineChars="200" w:firstLine="420"/>
      </w:pPr>
      <w:r>
        <w:rPr>
          <w:rFonts w:hint="eastAsia"/>
        </w:rPr>
        <w:t xml:space="preserve">GB/T 6679  </w:t>
      </w:r>
      <w:r>
        <w:rPr>
          <w:rFonts w:hint="eastAsia"/>
        </w:rPr>
        <w:t>固体化工产品采样通则</w:t>
      </w:r>
    </w:p>
    <w:p w14:paraId="6FA26531" w14:textId="77777777" w:rsidR="005727B1" w:rsidRDefault="00000000">
      <w:pPr>
        <w:ind w:firstLineChars="200" w:firstLine="420"/>
      </w:pPr>
      <w:r>
        <w:rPr>
          <w:rFonts w:hint="eastAsia"/>
        </w:rPr>
        <w:t xml:space="preserve">GB/T 8170  </w:t>
      </w:r>
      <w:r>
        <w:rPr>
          <w:rFonts w:hint="eastAsia"/>
        </w:rPr>
        <w:t>数据</w:t>
      </w:r>
      <w:proofErr w:type="gramStart"/>
      <w:r>
        <w:rPr>
          <w:rFonts w:hint="eastAsia"/>
        </w:rPr>
        <w:t>修约规则</w:t>
      </w:r>
      <w:proofErr w:type="gramEnd"/>
      <w:r>
        <w:rPr>
          <w:rFonts w:hint="eastAsia"/>
        </w:rPr>
        <w:t>与极限数值的标示和判定</w:t>
      </w:r>
    </w:p>
    <w:p w14:paraId="44110C3A" w14:textId="77777777" w:rsidR="005727B1" w:rsidRDefault="00000000">
      <w:pPr>
        <w:ind w:firstLineChars="200" w:firstLine="420"/>
      </w:pPr>
      <w:r>
        <w:rPr>
          <w:rFonts w:hint="eastAsia"/>
        </w:rPr>
        <w:t>GB/T 9984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工业三聚磷酸钠试验方法</w:t>
      </w:r>
    </w:p>
    <w:p w14:paraId="5D0ED79F" w14:textId="77777777" w:rsidR="005727B1" w:rsidRDefault="00000000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、主要内容</w:t>
      </w:r>
    </w:p>
    <w:p w14:paraId="1D72E4B4" w14:textId="77777777" w:rsidR="005727B1" w:rsidRDefault="00000000">
      <w:pPr>
        <w:ind w:firstLineChars="200" w:firstLine="420"/>
        <w:rPr>
          <w:rFonts w:ascii="宋体" w:hAnsi="宋体" w:hint="eastAsia"/>
          <w:szCs w:val="21"/>
        </w:rPr>
      </w:pPr>
      <w:r>
        <w:rPr>
          <w:rFonts w:hint="eastAsia"/>
        </w:rPr>
        <w:t>原标准</w:t>
      </w:r>
      <w:r>
        <w:rPr>
          <w:rFonts w:hint="eastAsia"/>
        </w:rPr>
        <w:t>2004</w:t>
      </w:r>
      <w:r>
        <w:rPr>
          <w:rFonts w:ascii="宋体" w:hAnsi="宋体" w:hint="eastAsia"/>
          <w:szCs w:val="21"/>
        </w:rPr>
        <w:t>年发布执行，多年来，该标准对</w:t>
      </w:r>
      <w:r>
        <w:rPr>
          <w:rFonts w:hint="eastAsia"/>
        </w:rPr>
        <w:t>工业三聚磷酸钠</w:t>
      </w:r>
      <w:r>
        <w:rPr>
          <w:rFonts w:ascii="宋体" w:hAnsi="宋体" w:hint="eastAsia"/>
          <w:szCs w:val="21"/>
        </w:rPr>
        <w:t>产品的产量和质量均起到了积极的推动作用。随着科技经济水平的发展，按照</w:t>
      </w:r>
      <w:r>
        <w:t>GB/T 1.1</w:t>
      </w:r>
      <w:r>
        <w:rPr>
          <w:rFonts w:hint="eastAsia"/>
        </w:rPr>
        <w:t>对标准文本规范性要求，对本标准做了如下修订。</w:t>
      </w:r>
    </w:p>
    <w:p w14:paraId="5BBC7D1E" w14:textId="77777777" w:rsidR="005727B1" w:rsidRDefault="00000000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本标准规定了工业三聚磷酸钠的要求、试验方法、检验规则和标志、包装、运输、贮存和保质期。</w:t>
      </w:r>
    </w:p>
    <w:p w14:paraId="6918DCC9" w14:textId="77777777" w:rsidR="005727B1" w:rsidRDefault="00000000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本标准适用于以热法磷酸或萃取磷酸为原料制造的工业三聚磷酸钠。该产品主要用作合成洗涤剂的助剂，也可用于石油、冶金、钻探、采矿水处理等工业。</w:t>
      </w:r>
    </w:p>
    <w:p w14:paraId="79DAF2A4" w14:textId="77777777" w:rsidR="005727B1" w:rsidRDefault="00000000">
      <w:pPr>
        <w:ind w:firstLineChars="200" w:firstLine="420"/>
        <w:jc w:val="left"/>
      </w:pPr>
      <w:r>
        <w:rPr>
          <w:rFonts w:hint="eastAsia"/>
        </w:rPr>
        <w:t>原标准</w:t>
      </w:r>
      <w:r>
        <w:rPr>
          <w:rFonts w:hint="eastAsia"/>
        </w:rPr>
        <w:t>2004</w:t>
      </w:r>
      <w:r>
        <w:rPr>
          <w:rFonts w:ascii="宋体" w:hAnsi="宋体" w:hint="eastAsia"/>
          <w:szCs w:val="21"/>
        </w:rPr>
        <w:t>年发布执行，规定了工业三聚磷酸钠的表观密度、I型含量、白度、五氧化二磷含量、三聚磷酸钠含量、水不溶物含量、铁含量、pH值、颗粒度等9项指标的试验方法。</w:t>
      </w:r>
      <w:r>
        <w:rPr>
          <w:rFonts w:hint="eastAsia"/>
          <w:szCs w:val="21"/>
        </w:rPr>
        <w:t>本次修</w:t>
      </w:r>
      <w:r>
        <w:rPr>
          <w:rFonts w:hint="eastAsia"/>
          <w:szCs w:val="21"/>
        </w:rPr>
        <w:lastRenderedPageBreak/>
        <w:t>订与</w:t>
      </w:r>
      <w:r>
        <w:rPr>
          <w:rFonts w:hint="eastAsia"/>
          <w:szCs w:val="21"/>
        </w:rPr>
        <w:t>GB/T 9983-2004</w:t>
      </w:r>
      <w:r>
        <w:rPr>
          <w:rFonts w:hint="eastAsia"/>
        </w:rPr>
        <w:t>相比，</w:t>
      </w:r>
      <w:r>
        <w:t>主要</w:t>
      </w:r>
      <w:r>
        <w:rPr>
          <w:rFonts w:hint="eastAsia"/>
        </w:rPr>
        <w:t>变化</w:t>
      </w:r>
      <w:r>
        <w:t>如下：</w:t>
      </w:r>
    </w:p>
    <w:p w14:paraId="1BEC6856" w14:textId="4B70B944" w:rsidR="00720AE8" w:rsidRPr="00720AE8" w:rsidRDefault="00720AE8" w:rsidP="00720AE8">
      <w:pPr>
        <w:pStyle w:val="a9"/>
        <w:numPr>
          <w:ilvl w:val="0"/>
          <w:numId w:val="4"/>
        </w:numPr>
        <w:ind w:firstLineChars="0"/>
        <w:rPr>
          <w:kern w:val="2"/>
        </w:rPr>
      </w:pPr>
      <w:r w:rsidRPr="00720AE8">
        <w:rPr>
          <w:rFonts w:hint="eastAsia"/>
          <w:kern w:val="2"/>
        </w:rPr>
        <w:t>修改了规范性引用文件（见第2章，2004版第2章）；</w:t>
      </w:r>
    </w:p>
    <w:p w14:paraId="576B7665" w14:textId="56F9015A" w:rsidR="00720AE8" w:rsidRPr="00720AE8" w:rsidRDefault="00720AE8" w:rsidP="00720AE8">
      <w:pPr>
        <w:pStyle w:val="a9"/>
        <w:numPr>
          <w:ilvl w:val="0"/>
          <w:numId w:val="4"/>
        </w:numPr>
        <w:ind w:firstLineChars="0"/>
        <w:rPr>
          <w:kern w:val="2"/>
        </w:rPr>
      </w:pPr>
      <w:r w:rsidRPr="00720AE8">
        <w:rPr>
          <w:rFonts w:hint="eastAsia"/>
          <w:kern w:val="2"/>
        </w:rPr>
        <w:t>修改“五氧化二磷”指标名称为“总五氧化二磷含量”（见表2，2004版表2）；</w:t>
      </w:r>
    </w:p>
    <w:p w14:paraId="50A9E1A6" w14:textId="3B257B66" w:rsidR="00720AE8" w:rsidRPr="00720AE8" w:rsidRDefault="00720AE8" w:rsidP="00720AE8">
      <w:pPr>
        <w:pStyle w:val="a9"/>
        <w:numPr>
          <w:ilvl w:val="0"/>
          <w:numId w:val="4"/>
        </w:numPr>
        <w:ind w:firstLineChars="0"/>
        <w:rPr>
          <w:kern w:val="2"/>
        </w:rPr>
      </w:pPr>
      <w:r w:rsidRPr="00720AE8">
        <w:rPr>
          <w:rFonts w:hint="eastAsia"/>
          <w:kern w:val="2"/>
        </w:rPr>
        <w:t>增加了氮的氧化物含量（以氮计）限制值（见表2）；</w:t>
      </w:r>
    </w:p>
    <w:p w14:paraId="204278CB" w14:textId="0187FD30" w:rsidR="00720AE8" w:rsidRPr="00720AE8" w:rsidRDefault="00720AE8" w:rsidP="00720AE8">
      <w:pPr>
        <w:pStyle w:val="a9"/>
        <w:numPr>
          <w:ilvl w:val="0"/>
          <w:numId w:val="4"/>
        </w:numPr>
        <w:ind w:firstLineChars="0"/>
        <w:rPr>
          <w:kern w:val="2"/>
        </w:rPr>
      </w:pPr>
      <w:r w:rsidRPr="00720AE8">
        <w:rPr>
          <w:rFonts w:hint="eastAsia"/>
          <w:kern w:val="2"/>
        </w:rPr>
        <w:t>增加了氮的氧化物含量试验方法引用（见6.8）；</w:t>
      </w:r>
    </w:p>
    <w:p w14:paraId="66B9DB9B" w14:textId="421DF830" w:rsidR="005727B1" w:rsidRDefault="00720AE8" w:rsidP="00720AE8">
      <w:pPr>
        <w:pStyle w:val="a9"/>
        <w:numPr>
          <w:ilvl w:val="0"/>
          <w:numId w:val="4"/>
        </w:numPr>
        <w:ind w:firstLineChars="0"/>
        <w:rPr>
          <w:kern w:val="2"/>
        </w:rPr>
      </w:pPr>
      <w:r w:rsidRPr="00720AE8">
        <w:rPr>
          <w:rFonts w:hint="eastAsia"/>
          <w:kern w:val="2"/>
        </w:rPr>
        <w:t>修改了抽样细节（见7.2.2，2004版6.2.2）。</w:t>
      </w:r>
    </w:p>
    <w:p w14:paraId="032AC0D3" w14:textId="77777777" w:rsidR="005727B1" w:rsidRDefault="00000000">
      <w:pPr>
        <w:rPr>
          <w:szCs w:val="21"/>
        </w:rPr>
      </w:pPr>
      <w:r>
        <w:rPr>
          <w:rFonts w:ascii="宋体" w:hAnsi="宋体" w:hint="eastAsia"/>
          <w:b/>
        </w:rPr>
        <w:t>三、主要试验（或验证）情况</w:t>
      </w:r>
    </w:p>
    <w:p w14:paraId="1A340744" w14:textId="77777777" w:rsidR="005727B1" w:rsidRDefault="00000000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1</w:t>
      </w:r>
      <w:r>
        <w:rPr>
          <w:rFonts w:hint="eastAsia"/>
          <w:b/>
          <w:bCs/>
          <w:szCs w:val="21"/>
        </w:rPr>
        <w:t>、增加氮的氧化物含量指标试验方法</w:t>
      </w:r>
    </w:p>
    <w:p w14:paraId="5907806A" w14:textId="5D1BB5E5" w:rsidR="005727B1" w:rsidRPr="00720AE8" w:rsidRDefault="00000000">
      <w:pPr>
        <w:ind w:firstLineChars="200" w:firstLine="420"/>
        <w:rPr>
          <w:szCs w:val="21"/>
        </w:rPr>
      </w:pPr>
      <w:r w:rsidRPr="00720AE8">
        <w:rPr>
          <w:rFonts w:hint="eastAsia"/>
          <w:szCs w:val="21"/>
        </w:rPr>
        <w:t>原标准无</w:t>
      </w:r>
      <w:r w:rsidRPr="00720AE8">
        <w:rPr>
          <w:rFonts w:hint="eastAsia"/>
        </w:rPr>
        <w:t>氮的氧化物含量指标，新增采用</w:t>
      </w:r>
      <w:r w:rsidRPr="00720AE8">
        <w:rPr>
          <w:rFonts w:hint="eastAsia"/>
          <w:szCs w:val="21"/>
        </w:rPr>
        <w:t>GB/T 9984</w:t>
      </w:r>
      <w:r w:rsidRPr="00720AE8">
        <w:rPr>
          <w:rFonts w:hint="eastAsia"/>
          <w:szCs w:val="21"/>
        </w:rPr>
        <w:t>，有利于提高三聚磷酸钠产品的质量。</w:t>
      </w:r>
    </w:p>
    <w:p w14:paraId="0FD642A5" w14:textId="77777777" w:rsidR="005727B1" w:rsidRDefault="00000000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、增加采用国家标准情况</w:t>
      </w:r>
    </w:p>
    <w:p w14:paraId="29C76924" w14:textId="6116EBEC" w:rsidR="005727B1" w:rsidRDefault="00000000">
      <w:pPr>
        <w:ind w:firstLine="420"/>
      </w:pPr>
      <w:r>
        <w:rPr>
          <w:rFonts w:hint="eastAsia"/>
          <w:szCs w:val="21"/>
        </w:rPr>
        <w:t>原标准</w:t>
      </w:r>
      <w:r>
        <w:rPr>
          <w:rFonts w:hint="eastAsia"/>
          <w:szCs w:val="21"/>
        </w:rPr>
        <w:t>2004</w:t>
      </w:r>
      <w:r>
        <w:rPr>
          <w:rFonts w:hint="eastAsia"/>
          <w:szCs w:val="21"/>
        </w:rPr>
        <w:t>版规范性引用文件未引用</w:t>
      </w:r>
      <w:r>
        <w:rPr>
          <w:rFonts w:hint="eastAsia"/>
        </w:rPr>
        <w:t>GB/T6679</w:t>
      </w:r>
      <w:r>
        <w:rPr>
          <w:rFonts w:hint="eastAsia"/>
        </w:rPr>
        <w:t>，</w:t>
      </w:r>
      <w:r>
        <w:rPr>
          <w:rFonts w:hint="eastAsia"/>
        </w:rPr>
        <w:t>GB/T6678</w:t>
      </w:r>
      <w:r>
        <w:rPr>
          <w:rFonts w:hint="eastAsia"/>
        </w:rPr>
        <w:t>，在取样要求新增引用，</w:t>
      </w:r>
      <w:r>
        <w:rPr>
          <w:rFonts w:hint="eastAsia"/>
        </w:rPr>
        <w:t>GB/T</w:t>
      </w:r>
      <w:r w:rsidR="00720AE8">
        <w:rPr>
          <w:rFonts w:hint="eastAsia"/>
        </w:rPr>
        <w:t xml:space="preserve"> </w:t>
      </w:r>
      <w:r>
        <w:rPr>
          <w:rFonts w:hint="eastAsia"/>
        </w:rPr>
        <w:t>9984</w:t>
      </w:r>
      <w:r>
        <w:rPr>
          <w:rFonts w:hint="eastAsia"/>
        </w:rPr>
        <w:t>系列已更新，采用最新标准。</w:t>
      </w:r>
    </w:p>
    <w:p w14:paraId="62196291" w14:textId="77777777" w:rsidR="005727B1" w:rsidRDefault="00000000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3</w:t>
      </w:r>
      <w:r>
        <w:rPr>
          <w:rFonts w:hint="eastAsia"/>
          <w:b/>
          <w:bCs/>
          <w:szCs w:val="21"/>
        </w:rPr>
        <w:t>、各项</w:t>
      </w:r>
      <w:proofErr w:type="gramStart"/>
      <w:r>
        <w:rPr>
          <w:rFonts w:hint="eastAsia"/>
          <w:b/>
          <w:bCs/>
          <w:szCs w:val="21"/>
        </w:rPr>
        <w:t>目试验</w:t>
      </w:r>
      <w:proofErr w:type="gramEnd"/>
      <w:r>
        <w:rPr>
          <w:rFonts w:hint="eastAsia"/>
          <w:b/>
          <w:bCs/>
          <w:szCs w:val="21"/>
        </w:rPr>
        <w:t>方法修订情况</w:t>
      </w:r>
    </w:p>
    <w:p w14:paraId="02E74260" w14:textId="77777777" w:rsidR="005727B1" w:rsidRDefault="00000000">
      <w:pPr>
        <w:ind w:firstLineChars="200" w:firstLine="420"/>
        <w:rPr>
          <w:szCs w:val="21"/>
        </w:rPr>
      </w:pPr>
      <w:r>
        <w:rPr>
          <w:rFonts w:hint="eastAsia"/>
          <w:szCs w:val="21"/>
        </w:rPr>
        <w:t>本次对</w:t>
      </w:r>
      <w:r>
        <w:rPr>
          <w:rFonts w:hint="eastAsia"/>
          <w:szCs w:val="21"/>
        </w:rPr>
        <w:t>2004</w:t>
      </w:r>
      <w:proofErr w:type="gramStart"/>
      <w:r>
        <w:rPr>
          <w:rFonts w:hint="eastAsia"/>
          <w:szCs w:val="21"/>
        </w:rPr>
        <w:t>版标准</w:t>
      </w:r>
      <w:proofErr w:type="gramEnd"/>
      <w:r>
        <w:rPr>
          <w:rFonts w:hint="eastAsia"/>
          <w:szCs w:val="21"/>
        </w:rPr>
        <w:t>修订情况见表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。主要是规范性引用文件进行了更新，取样要求进行了细化，在取样环节首要要求代表性，为了规范表述，新增引用</w:t>
      </w:r>
      <w:r>
        <w:rPr>
          <w:rFonts w:hint="eastAsia"/>
        </w:rPr>
        <w:t>GB/T6679</w:t>
      </w:r>
      <w:r>
        <w:rPr>
          <w:rFonts w:hint="eastAsia"/>
        </w:rPr>
        <w:t>，</w:t>
      </w:r>
      <w:r>
        <w:rPr>
          <w:rFonts w:hint="eastAsia"/>
        </w:rPr>
        <w:t>GB/T6678</w:t>
      </w:r>
      <w:r>
        <w:rPr>
          <w:rFonts w:hint="eastAsia"/>
        </w:rPr>
        <w:t>，分类描述了不同情况下取样量，</w:t>
      </w:r>
      <w:r w:rsidRPr="00720AE8">
        <w:rPr>
          <w:rFonts w:hint="eastAsia"/>
          <w:szCs w:val="21"/>
        </w:rPr>
        <w:t>原标准无</w:t>
      </w:r>
      <w:r w:rsidRPr="00720AE8">
        <w:rPr>
          <w:rFonts w:hint="eastAsia"/>
        </w:rPr>
        <w:t>氮的氧化物含量指标，新增采用</w:t>
      </w:r>
      <w:r w:rsidRPr="00720AE8">
        <w:rPr>
          <w:rFonts w:hint="eastAsia"/>
          <w:szCs w:val="21"/>
        </w:rPr>
        <w:t>GB/T 9984</w:t>
      </w:r>
      <w:r w:rsidRPr="00720AE8">
        <w:rPr>
          <w:rFonts w:hint="eastAsia"/>
          <w:szCs w:val="21"/>
        </w:rPr>
        <w:t>，鉴于产品应用场景（主要是用后排放），参考国内外污水排放关于氮的限制值，结合监管需求，新增</w:t>
      </w:r>
      <w:r w:rsidRPr="00720AE8">
        <w:rPr>
          <w:rFonts w:hint="eastAsia"/>
        </w:rPr>
        <w:t>氮的氧化物含量（以氮计）限值，</w:t>
      </w:r>
      <w:r>
        <w:rPr>
          <w:rFonts w:hint="eastAsia"/>
          <w:szCs w:val="21"/>
        </w:rPr>
        <w:t>有利于提高三聚磷酸钠产品的质量，推动产品的高质化发展。</w:t>
      </w:r>
    </w:p>
    <w:p w14:paraId="7CEA0D5A" w14:textId="77777777" w:rsidR="005727B1" w:rsidRDefault="00000000">
      <w:pPr>
        <w:jc w:val="center"/>
        <w:rPr>
          <w:rFonts w:ascii="黑体" w:eastAsia="黑体" w:hAnsi="黑体" w:hint="eastAsia"/>
          <w:szCs w:val="21"/>
        </w:rPr>
      </w:pPr>
      <w:r>
        <w:rPr>
          <w:rFonts w:ascii="黑体" w:eastAsia="黑体" w:hAnsi="黑体" w:hint="eastAsia"/>
          <w:szCs w:val="21"/>
        </w:rPr>
        <w:t>表2 本标准与2004</w:t>
      </w:r>
      <w:proofErr w:type="gramStart"/>
      <w:r>
        <w:rPr>
          <w:rFonts w:ascii="黑体" w:eastAsia="黑体" w:hAnsi="黑体" w:hint="eastAsia"/>
          <w:szCs w:val="21"/>
        </w:rPr>
        <w:t>版标准</w:t>
      </w:r>
      <w:proofErr w:type="gramEnd"/>
      <w:r>
        <w:rPr>
          <w:rFonts w:ascii="黑体" w:eastAsia="黑体" w:hAnsi="黑体" w:hint="eastAsia"/>
          <w:szCs w:val="21"/>
        </w:rPr>
        <w:t>差异对比</w:t>
      </w:r>
    </w:p>
    <w:tbl>
      <w:tblPr>
        <w:tblStyle w:val="a7"/>
        <w:tblW w:w="9492" w:type="dxa"/>
        <w:jc w:val="center"/>
        <w:tblLook w:val="0000" w:firstRow="0" w:lastRow="0" w:firstColumn="0" w:lastColumn="0" w:noHBand="0" w:noVBand="0"/>
      </w:tblPr>
      <w:tblGrid>
        <w:gridCol w:w="1056"/>
        <w:gridCol w:w="3104"/>
        <w:gridCol w:w="938"/>
        <w:gridCol w:w="2053"/>
        <w:gridCol w:w="2341"/>
      </w:tblGrid>
      <w:tr w:rsidR="005727B1" w:rsidRPr="00720AE8" w14:paraId="00FED883" w14:textId="77777777">
        <w:trPr>
          <w:jc w:val="center"/>
        </w:trPr>
        <w:tc>
          <w:tcPr>
            <w:tcW w:w="1056" w:type="dxa"/>
            <w:vAlign w:val="center"/>
          </w:tcPr>
          <w:p w14:paraId="3A0F238B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章节号</w:t>
            </w:r>
          </w:p>
        </w:tc>
        <w:tc>
          <w:tcPr>
            <w:tcW w:w="3104" w:type="dxa"/>
            <w:vAlign w:val="center"/>
          </w:tcPr>
          <w:p w14:paraId="71D360FD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本标准</w:t>
            </w:r>
          </w:p>
        </w:tc>
        <w:tc>
          <w:tcPr>
            <w:tcW w:w="938" w:type="dxa"/>
            <w:vAlign w:val="center"/>
          </w:tcPr>
          <w:p w14:paraId="553CAD6A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章节号</w:t>
            </w:r>
          </w:p>
        </w:tc>
        <w:tc>
          <w:tcPr>
            <w:tcW w:w="2053" w:type="dxa"/>
            <w:vAlign w:val="center"/>
          </w:tcPr>
          <w:p w14:paraId="13D59DBE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2004</w:t>
            </w:r>
            <w:proofErr w:type="gramStart"/>
            <w:r w:rsidRPr="00720AE8">
              <w:rPr>
                <w:rFonts w:hAnsi="宋体" w:hint="eastAsia"/>
                <w:sz w:val="18"/>
                <w:szCs w:val="18"/>
              </w:rPr>
              <w:t>版标准</w:t>
            </w:r>
            <w:proofErr w:type="gramEnd"/>
          </w:p>
        </w:tc>
        <w:tc>
          <w:tcPr>
            <w:tcW w:w="2341" w:type="dxa"/>
            <w:vAlign w:val="center"/>
          </w:tcPr>
          <w:p w14:paraId="05113A86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差异说明</w:t>
            </w:r>
          </w:p>
        </w:tc>
      </w:tr>
      <w:tr w:rsidR="005727B1" w:rsidRPr="00720AE8" w14:paraId="719241C7" w14:textId="77777777">
        <w:trPr>
          <w:jc w:val="center"/>
        </w:trPr>
        <w:tc>
          <w:tcPr>
            <w:tcW w:w="1056" w:type="dxa"/>
            <w:vAlign w:val="center"/>
          </w:tcPr>
          <w:p w14:paraId="4BC4C50C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5.2表2</w:t>
            </w:r>
          </w:p>
        </w:tc>
        <w:tc>
          <w:tcPr>
            <w:tcW w:w="3104" w:type="dxa"/>
            <w:vAlign w:val="center"/>
          </w:tcPr>
          <w:p w14:paraId="56C844B0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新增氮的氧化物含量（以氮计）</w:t>
            </w:r>
          </w:p>
        </w:tc>
        <w:tc>
          <w:tcPr>
            <w:tcW w:w="938" w:type="dxa"/>
            <w:vAlign w:val="center"/>
          </w:tcPr>
          <w:p w14:paraId="5BFFE562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5.2表2</w:t>
            </w:r>
          </w:p>
        </w:tc>
        <w:tc>
          <w:tcPr>
            <w:tcW w:w="2053" w:type="dxa"/>
            <w:vAlign w:val="center"/>
          </w:tcPr>
          <w:p w14:paraId="030FCB74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无</w:t>
            </w:r>
          </w:p>
        </w:tc>
        <w:tc>
          <w:tcPr>
            <w:tcW w:w="2341" w:type="dxa"/>
            <w:vAlign w:val="center"/>
          </w:tcPr>
          <w:p w14:paraId="0FFCD55E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新增氮的氧化物含量（以氮计）限值</w:t>
            </w:r>
          </w:p>
        </w:tc>
      </w:tr>
      <w:tr w:rsidR="005727B1" w:rsidRPr="00720AE8" w14:paraId="7757E064" w14:textId="77777777">
        <w:trPr>
          <w:jc w:val="center"/>
        </w:trPr>
        <w:tc>
          <w:tcPr>
            <w:tcW w:w="1056" w:type="dxa"/>
            <w:vAlign w:val="center"/>
          </w:tcPr>
          <w:p w14:paraId="12F25CD7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2</w:t>
            </w:r>
          </w:p>
        </w:tc>
        <w:tc>
          <w:tcPr>
            <w:tcW w:w="3104" w:type="dxa"/>
            <w:vAlign w:val="center"/>
          </w:tcPr>
          <w:p w14:paraId="76E06D28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规范性引用5份标准</w:t>
            </w:r>
          </w:p>
        </w:tc>
        <w:tc>
          <w:tcPr>
            <w:tcW w:w="938" w:type="dxa"/>
            <w:vAlign w:val="center"/>
          </w:tcPr>
          <w:p w14:paraId="1AC89B8F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2</w:t>
            </w:r>
          </w:p>
        </w:tc>
        <w:tc>
          <w:tcPr>
            <w:tcW w:w="2053" w:type="dxa"/>
            <w:vAlign w:val="center"/>
          </w:tcPr>
          <w:p w14:paraId="1D047287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规范性引用11份标准</w:t>
            </w:r>
          </w:p>
        </w:tc>
        <w:tc>
          <w:tcPr>
            <w:tcW w:w="2341" w:type="dxa"/>
            <w:vAlign w:val="center"/>
          </w:tcPr>
          <w:p w14:paraId="4EAA53A6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根据正文内容增补</w:t>
            </w:r>
          </w:p>
        </w:tc>
      </w:tr>
      <w:tr w:rsidR="005727B1" w:rsidRPr="00720AE8" w14:paraId="47DA9C54" w14:textId="77777777">
        <w:trPr>
          <w:jc w:val="center"/>
        </w:trPr>
        <w:tc>
          <w:tcPr>
            <w:tcW w:w="1056" w:type="dxa"/>
            <w:vAlign w:val="center"/>
          </w:tcPr>
          <w:p w14:paraId="01485B69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6.8</w:t>
            </w:r>
          </w:p>
        </w:tc>
        <w:tc>
          <w:tcPr>
            <w:tcW w:w="3104" w:type="dxa"/>
            <w:vAlign w:val="center"/>
          </w:tcPr>
          <w:p w14:paraId="4FE78104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氮的氧化物含量</w:t>
            </w:r>
          </w:p>
        </w:tc>
        <w:tc>
          <w:tcPr>
            <w:tcW w:w="938" w:type="dxa"/>
            <w:vAlign w:val="center"/>
          </w:tcPr>
          <w:p w14:paraId="7F4D674B" w14:textId="77777777" w:rsidR="005727B1" w:rsidRPr="00720AE8" w:rsidRDefault="005727B1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</w:p>
        </w:tc>
        <w:tc>
          <w:tcPr>
            <w:tcW w:w="2053" w:type="dxa"/>
            <w:vAlign w:val="center"/>
          </w:tcPr>
          <w:p w14:paraId="5780A2AE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无</w:t>
            </w:r>
          </w:p>
        </w:tc>
        <w:tc>
          <w:tcPr>
            <w:tcW w:w="2341" w:type="dxa"/>
            <w:vAlign w:val="center"/>
          </w:tcPr>
          <w:p w14:paraId="7CEDBF8E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按GB/T9984方法增加采用</w:t>
            </w:r>
          </w:p>
        </w:tc>
      </w:tr>
      <w:tr w:rsidR="005727B1" w14:paraId="5B38F854" w14:textId="77777777">
        <w:trPr>
          <w:jc w:val="center"/>
        </w:trPr>
        <w:tc>
          <w:tcPr>
            <w:tcW w:w="1056" w:type="dxa"/>
            <w:vAlign w:val="center"/>
          </w:tcPr>
          <w:p w14:paraId="28AC122B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7.2.2</w:t>
            </w:r>
          </w:p>
        </w:tc>
        <w:tc>
          <w:tcPr>
            <w:tcW w:w="3104" w:type="dxa"/>
            <w:vAlign w:val="center"/>
          </w:tcPr>
          <w:p w14:paraId="6C41B251" w14:textId="77777777" w:rsidR="005727B1" w:rsidRPr="00720AE8" w:rsidRDefault="00000000">
            <w:pPr>
              <w:rPr>
                <w:rFonts w:ascii="宋体" w:hAnsi="宋体" w:hint="eastAsia"/>
                <w:kern w:val="0"/>
                <w:sz w:val="18"/>
                <w:szCs w:val="18"/>
              </w:rPr>
            </w:pPr>
            <w:r w:rsidRPr="00720AE8">
              <w:rPr>
                <w:rFonts w:ascii="宋体" w:hAnsi="宋体" w:hint="eastAsia"/>
                <w:kern w:val="0"/>
                <w:sz w:val="18"/>
                <w:szCs w:val="18"/>
              </w:rPr>
              <w:t>GB/T 6678  化工产品采样总则</w:t>
            </w:r>
          </w:p>
          <w:p w14:paraId="2F62BE32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GB/T 6679  固体化工产品采样通则</w:t>
            </w:r>
          </w:p>
        </w:tc>
        <w:tc>
          <w:tcPr>
            <w:tcW w:w="938" w:type="dxa"/>
            <w:vAlign w:val="center"/>
          </w:tcPr>
          <w:p w14:paraId="7A2745DF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6.2.2</w:t>
            </w:r>
          </w:p>
        </w:tc>
        <w:tc>
          <w:tcPr>
            <w:tcW w:w="2053" w:type="dxa"/>
            <w:vAlign w:val="center"/>
          </w:tcPr>
          <w:p w14:paraId="4FB087AD" w14:textId="77777777" w:rsidR="005727B1" w:rsidRPr="00720AE8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无</w:t>
            </w:r>
          </w:p>
        </w:tc>
        <w:tc>
          <w:tcPr>
            <w:tcW w:w="2341" w:type="dxa"/>
            <w:vAlign w:val="center"/>
          </w:tcPr>
          <w:p w14:paraId="4251E7DE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 w:rsidRPr="00720AE8">
              <w:rPr>
                <w:rFonts w:hAnsi="宋体" w:hint="eastAsia"/>
                <w:sz w:val="18"/>
                <w:szCs w:val="18"/>
              </w:rPr>
              <w:t>增加分类描述了不同情况下取样量</w:t>
            </w:r>
          </w:p>
        </w:tc>
      </w:tr>
    </w:tbl>
    <w:p w14:paraId="339B8FB3" w14:textId="77777777" w:rsidR="005727B1" w:rsidRPr="00720AE8" w:rsidRDefault="00000000">
      <w:pPr>
        <w:rPr>
          <w:b/>
          <w:szCs w:val="21"/>
        </w:rPr>
      </w:pPr>
      <w:r w:rsidRPr="00720AE8">
        <w:rPr>
          <w:rFonts w:hint="eastAsia"/>
          <w:b/>
          <w:szCs w:val="21"/>
        </w:rPr>
        <w:t>4</w:t>
      </w:r>
      <w:r w:rsidRPr="00720AE8">
        <w:rPr>
          <w:rFonts w:hint="eastAsia"/>
          <w:b/>
          <w:szCs w:val="21"/>
        </w:rPr>
        <w:t>、方法应用</w:t>
      </w:r>
    </w:p>
    <w:p w14:paraId="71E4900E" w14:textId="77777777" w:rsidR="005727B1" w:rsidRPr="00720AE8" w:rsidRDefault="00000000" w:rsidP="00720AE8">
      <w:pPr>
        <w:ind w:firstLineChars="235" w:firstLine="493"/>
        <w:rPr>
          <w:szCs w:val="21"/>
        </w:rPr>
      </w:pPr>
      <w:r w:rsidRPr="00720AE8">
        <w:rPr>
          <w:rFonts w:hint="eastAsia"/>
          <w:szCs w:val="21"/>
        </w:rPr>
        <w:t>对行业</w:t>
      </w:r>
      <w:r w:rsidRPr="00720AE8">
        <w:rPr>
          <w:rFonts w:hint="eastAsia"/>
          <w:szCs w:val="21"/>
        </w:rPr>
        <w:t>7</w:t>
      </w:r>
      <w:r w:rsidRPr="00720AE8">
        <w:rPr>
          <w:rFonts w:hint="eastAsia"/>
          <w:szCs w:val="21"/>
        </w:rPr>
        <w:t>个厂家市售的</w:t>
      </w:r>
      <w:r w:rsidRPr="00720AE8">
        <w:rPr>
          <w:rFonts w:hint="eastAsia"/>
          <w:szCs w:val="21"/>
        </w:rPr>
        <w:t>7</w:t>
      </w:r>
      <w:r w:rsidRPr="00720AE8">
        <w:rPr>
          <w:rFonts w:hint="eastAsia"/>
          <w:szCs w:val="21"/>
        </w:rPr>
        <w:t>个三聚磷酸钠产品按本标准进行了</w:t>
      </w:r>
      <w:r w:rsidRPr="00720AE8">
        <w:rPr>
          <w:rFonts w:hAnsi="宋体" w:hint="eastAsia"/>
          <w:kern w:val="0"/>
          <w:sz w:val="18"/>
          <w:szCs w:val="18"/>
        </w:rPr>
        <w:t>氮的氧化物含量</w:t>
      </w:r>
      <w:r w:rsidRPr="00720AE8">
        <w:rPr>
          <w:rFonts w:hint="eastAsia"/>
          <w:szCs w:val="21"/>
        </w:rPr>
        <w:t>指标试验验证，试验结果见表</w:t>
      </w:r>
      <w:r w:rsidRPr="00720AE8">
        <w:rPr>
          <w:rFonts w:hint="eastAsia"/>
          <w:szCs w:val="21"/>
        </w:rPr>
        <w:t>3</w:t>
      </w:r>
      <w:r w:rsidRPr="00720AE8">
        <w:rPr>
          <w:rFonts w:hint="eastAsia"/>
          <w:szCs w:val="21"/>
        </w:rPr>
        <w:t>。</w:t>
      </w:r>
    </w:p>
    <w:p w14:paraId="6877549B" w14:textId="77777777" w:rsidR="005727B1" w:rsidRDefault="00000000">
      <w:pPr>
        <w:ind w:firstLineChars="135" w:firstLine="283"/>
        <w:jc w:val="center"/>
        <w:rPr>
          <w:szCs w:val="21"/>
        </w:rPr>
      </w:pPr>
      <w:r w:rsidRPr="00720AE8">
        <w:rPr>
          <w:rFonts w:hint="eastAsia"/>
          <w:szCs w:val="21"/>
        </w:rPr>
        <w:t>表</w:t>
      </w:r>
      <w:r w:rsidRPr="00720AE8">
        <w:rPr>
          <w:rFonts w:hint="eastAsia"/>
          <w:szCs w:val="21"/>
        </w:rPr>
        <w:t>3</w:t>
      </w:r>
      <w:r w:rsidRPr="00720AE8">
        <w:rPr>
          <w:rFonts w:hint="eastAsia"/>
          <w:szCs w:val="21"/>
        </w:rPr>
        <w:t>市售</w:t>
      </w:r>
      <w:r w:rsidRPr="00720AE8">
        <w:rPr>
          <w:rFonts w:hint="eastAsia"/>
          <w:szCs w:val="21"/>
        </w:rPr>
        <w:t>7</w:t>
      </w:r>
      <w:r w:rsidRPr="00720AE8">
        <w:rPr>
          <w:rFonts w:hint="eastAsia"/>
          <w:szCs w:val="21"/>
        </w:rPr>
        <w:t>个三聚磷酸钠产品中氮</w:t>
      </w:r>
      <w:r w:rsidRPr="00720AE8">
        <w:rPr>
          <w:rFonts w:hAnsi="宋体" w:hint="eastAsia"/>
          <w:kern w:val="0"/>
          <w:sz w:val="18"/>
          <w:szCs w:val="18"/>
        </w:rPr>
        <w:t>的氧化物含量（以氮计）测定结果</w:t>
      </w:r>
    </w:p>
    <w:tbl>
      <w:tblPr>
        <w:tblStyle w:val="a7"/>
        <w:tblW w:w="4998" w:type="pct"/>
        <w:tblLook w:val="0000" w:firstRow="0" w:lastRow="0" w:firstColumn="0" w:lastColumn="0" w:noHBand="0" w:noVBand="0"/>
      </w:tblPr>
      <w:tblGrid>
        <w:gridCol w:w="640"/>
        <w:gridCol w:w="3183"/>
        <w:gridCol w:w="2967"/>
        <w:gridCol w:w="2266"/>
      </w:tblGrid>
      <w:tr w:rsidR="005727B1" w14:paraId="17E77BB5" w14:textId="77777777" w:rsidTr="00720AE8">
        <w:tc>
          <w:tcPr>
            <w:tcW w:w="353" w:type="pct"/>
          </w:tcPr>
          <w:p w14:paraId="44F5B153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序号</w:t>
            </w:r>
          </w:p>
        </w:tc>
        <w:tc>
          <w:tcPr>
            <w:tcW w:w="1757" w:type="pct"/>
          </w:tcPr>
          <w:p w14:paraId="20A09006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生产厂家</w:t>
            </w:r>
          </w:p>
        </w:tc>
        <w:tc>
          <w:tcPr>
            <w:tcW w:w="1638" w:type="pct"/>
          </w:tcPr>
          <w:p w14:paraId="4AC20BF9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氮的氧化物含量（以氮计）mg/kg</w:t>
            </w:r>
          </w:p>
        </w:tc>
        <w:tc>
          <w:tcPr>
            <w:tcW w:w="1251" w:type="pct"/>
          </w:tcPr>
          <w:p w14:paraId="1152287A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平均值mg/kg</w:t>
            </w:r>
          </w:p>
        </w:tc>
      </w:tr>
      <w:tr w:rsidR="005727B1" w14:paraId="58FE8F0B" w14:textId="77777777" w:rsidTr="00720AE8">
        <w:tc>
          <w:tcPr>
            <w:tcW w:w="353" w:type="pct"/>
          </w:tcPr>
          <w:p w14:paraId="268188C0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1</w:t>
            </w:r>
          </w:p>
        </w:tc>
        <w:tc>
          <w:tcPr>
            <w:tcW w:w="1757" w:type="pct"/>
          </w:tcPr>
          <w:p w14:paraId="5267F7DA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A湖北兴发化工集团股份有限公司</w:t>
            </w:r>
          </w:p>
        </w:tc>
        <w:tc>
          <w:tcPr>
            <w:tcW w:w="1638" w:type="pct"/>
          </w:tcPr>
          <w:p w14:paraId="799C58AF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22.9，22.0，24.1，21.8</w:t>
            </w:r>
          </w:p>
        </w:tc>
        <w:tc>
          <w:tcPr>
            <w:tcW w:w="1251" w:type="pct"/>
          </w:tcPr>
          <w:p w14:paraId="7E032064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22.7</w:t>
            </w:r>
          </w:p>
        </w:tc>
      </w:tr>
      <w:tr w:rsidR="005727B1" w14:paraId="47308B1F" w14:textId="77777777" w:rsidTr="00720AE8">
        <w:tc>
          <w:tcPr>
            <w:tcW w:w="353" w:type="pct"/>
          </w:tcPr>
          <w:p w14:paraId="38C2766F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2</w:t>
            </w:r>
          </w:p>
        </w:tc>
        <w:tc>
          <w:tcPr>
            <w:tcW w:w="1757" w:type="pct"/>
          </w:tcPr>
          <w:p w14:paraId="17464736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B广州洁雅化工有限公司</w:t>
            </w:r>
          </w:p>
        </w:tc>
        <w:tc>
          <w:tcPr>
            <w:tcW w:w="1638" w:type="pct"/>
          </w:tcPr>
          <w:p w14:paraId="7E268FA5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15.7，15.5，14.6，14.9</w:t>
            </w:r>
          </w:p>
        </w:tc>
        <w:tc>
          <w:tcPr>
            <w:tcW w:w="1251" w:type="pct"/>
          </w:tcPr>
          <w:p w14:paraId="2861B384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15.2</w:t>
            </w:r>
          </w:p>
        </w:tc>
      </w:tr>
      <w:tr w:rsidR="005727B1" w14:paraId="4827CDFD" w14:textId="77777777" w:rsidTr="00720AE8">
        <w:tc>
          <w:tcPr>
            <w:tcW w:w="353" w:type="pct"/>
          </w:tcPr>
          <w:p w14:paraId="2C55F8A2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3</w:t>
            </w:r>
          </w:p>
        </w:tc>
        <w:tc>
          <w:tcPr>
            <w:tcW w:w="1757" w:type="pct"/>
          </w:tcPr>
          <w:p w14:paraId="7930268E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C武汉联德化学品有限公司</w:t>
            </w:r>
          </w:p>
        </w:tc>
        <w:tc>
          <w:tcPr>
            <w:tcW w:w="1638" w:type="pct"/>
          </w:tcPr>
          <w:p w14:paraId="47440F45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＜2</w:t>
            </w:r>
          </w:p>
        </w:tc>
        <w:tc>
          <w:tcPr>
            <w:tcW w:w="1251" w:type="pct"/>
          </w:tcPr>
          <w:p w14:paraId="190AA34F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＜2</w:t>
            </w:r>
          </w:p>
        </w:tc>
      </w:tr>
      <w:tr w:rsidR="005727B1" w14:paraId="71EB9421" w14:textId="77777777" w:rsidTr="00720AE8">
        <w:tc>
          <w:tcPr>
            <w:tcW w:w="353" w:type="pct"/>
          </w:tcPr>
          <w:p w14:paraId="3A1636E8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4</w:t>
            </w:r>
          </w:p>
        </w:tc>
        <w:tc>
          <w:tcPr>
            <w:tcW w:w="1757" w:type="pct"/>
          </w:tcPr>
          <w:p w14:paraId="01452D83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D</w:t>
            </w:r>
          </w:p>
        </w:tc>
        <w:tc>
          <w:tcPr>
            <w:tcW w:w="1638" w:type="pct"/>
          </w:tcPr>
          <w:p w14:paraId="55EFBC27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＜2</w:t>
            </w:r>
          </w:p>
        </w:tc>
        <w:tc>
          <w:tcPr>
            <w:tcW w:w="1251" w:type="pct"/>
          </w:tcPr>
          <w:p w14:paraId="6911FB89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＜2</w:t>
            </w:r>
          </w:p>
        </w:tc>
      </w:tr>
      <w:tr w:rsidR="005727B1" w14:paraId="7504681F" w14:textId="77777777" w:rsidTr="00720AE8">
        <w:tc>
          <w:tcPr>
            <w:tcW w:w="353" w:type="pct"/>
          </w:tcPr>
          <w:p w14:paraId="759E9C43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5</w:t>
            </w:r>
          </w:p>
        </w:tc>
        <w:tc>
          <w:tcPr>
            <w:tcW w:w="1757" w:type="pct"/>
          </w:tcPr>
          <w:p w14:paraId="60DDB44B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E</w:t>
            </w:r>
          </w:p>
        </w:tc>
        <w:tc>
          <w:tcPr>
            <w:tcW w:w="1638" w:type="pct"/>
          </w:tcPr>
          <w:p w14:paraId="345A8820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7.5，8.5，7.5，8.3</w:t>
            </w:r>
          </w:p>
        </w:tc>
        <w:tc>
          <w:tcPr>
            <w:tcW w:w="1251" w:type="pct"/>
          </w:tcPr>
          <w:p w14:paraId="1024F62A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7.9</w:t>
            </w:r>
          </w:p>
        </w:tc>
      </w:tr>
      <w:tr w:rsidR="005727B1" w14:paraId="2D98393D" w14:textId="77777777" w:rsidTr="00720AE8">
        <w:tc>
          <w:tcPr>
            <w:tcW w:w="353" w:type="pct"/>
          </w:tcPr>
          <w:p w14:paraId="451B5650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6</w:t>
            </w:r>
          </w:p>
        </w:tc>
        <w:tc>
          <w:tcPr>
            <w:tcW w:w="1757" w:type="pct"/>
          </w:tcPr>
          <w:p w14:paraId="44CB0804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F河南庄伟新材料有限公司</w:t>
            </w:r>
          </w:p>
        </w:tc>
        <w:tc>
          <w:tcPr>
            <w:tcW w:w="1638" w:type="pct"/>
          </w:tcPr>
          <w:p w14:paraId="3BFF49D6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＜2</w:t>
            </w:r>
          </w:p>
        </w:tc>
        <w:tc>
          <w:tcPr>
            <w:tcW w:w="1251" w:type="pct"/>
          </w:tcPr>
          <w:p w14:paraId="4BC05C0D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＜2</w:t>
            </w:r>
          </w:p>
        </w:tc>
      </w:tr>
      <w:tr w:rsidR="005727B1" w14:paraId="6A4A6C79" w14:textId="77777777" w:rsidTr="00720AE8">
        <w:tc>
          <w:tcPr>
            <w:tcW w:w="353" w:type="pct"/>
          </w:tcPr>
          <w:p w14:paraId="43D89CD2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7</w:t>
            </w:r>
          </w:p>
        </w:tc>
        <w:tc>
          <w:tcPr>
            <w:tcW w:w="1757" w:type="pct"/>
          </w:tcPr>
          <w:p w14:paraId="6804FEF3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H上海阿拉丁生化科技股份有限公司</w:t>
            </w:r>
          </w:p>
        </w:tc>
        <w:tc>
          <w:tcPr>
            <w:tcW w:w="1638" w:type="pct"/>
          </w:tcPr>
          <w:p w14:paraId="22B5A83D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＜2</w:t>
            </w:r>
          </w:p>
        </w:tc>
        <w:tc>
          <w:tcPr>
            <w:tcW w:w="1251" w:type="pct"/>
          </w:tcPr>
          <w:p w14:paraId="2E03FE95" w14:textId="77777777" w:rsidR="005727B1" w:rsidRDefault="00000000">
            <w:pPr>
              <w:pStyle w:val="a9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＜2</w:t>
            </w:r>
          </w:p>
        </w:tc>
      </w:tr>
    </w:tbl>
    <w:p w14:paraId="44304FB3" w14:textId="0C362052" w:rsidR="005727B1" w:rsidRDefault="00000000" w:rsidP="00720AE8">
      <w:pPr>
        <w:ind w:firstLineChars="235" w:firstLine="493"/>
        <w:rPr>
          <w:szCs w:val="21"/>
        </w:rPr>
      </w:pPr>
      <w:r>
        <w:rPr>
          <w:rFonts w:hint="eastAsia"/>
          <w:szCs w:val="21"/>
        </w:rPr>
        <w:t>根据国内外关于水体中总氮限量要求，结合标准征求意见反馈情况，依据三聚磷酸钠在钻井液中的应用场景，</w:t>
      </w:r>
      <w:proofErr w:type="gramStart"/>
      <w:r>
        <w:rPr>
          <w:rFonts w:hint="eastAsia"/>
          <w:szCs w:val="21"/>
        </w:rPr>
        <w:t>对氮的</w:t>
      </w:r>
      <w:proofErr w:type="gramEnd"/>
      <w:r>
        <w:rPr>
          <w:rFonts w:hint="eastAsia"/>
          <w:szCs w:val="21"/>
        </w:rPr>
        <w:t>限量要求进行合理设置，设置过程计算如下</w:t>
      </w:r>
      <w:r w:rsidR="00720AE8">
        <w:rPr>
          <w:rFonts w:hint="eastAsia"/>
          <w:szCs w:val="21"/>
        </w:rPr>
        <w:t>。</w:t>
      </w:r>
    </w:p>
    <w:p w14:paraId="0C6E5588" w14:textId="77777777" w:rsidR="005727B1" w:rsidRDefault="00000000" w:rsidP="00720AE8">
      <w:pPr>
        <w:rPr>
          <w:szCs w:val="21"/>
        </w:rPr>
      </w:pPr>
      <w:r>
        <w:rPr>
          <w:rFonts w:hint="eastAsia"/>
          <w:szCs w:val="21"/>
        </w:rPr>
        <w:t>4.1</w:t>
      </w:r>
      <w:r>
        <w:rPr>
          <w:rFonts w:hint="eastAsia"/>
          <w:szCs w:val="21"/>
        </w:rPr>
        <w:t>国内外关于水体中总氮限量要求</w:t>
      </w:r>
    </w:p>
    <w:p w14:paraId="7FD3EB2A" w14:textId="77777777" w:rsidR="005727B1" w:rsidRDefault="00000000" w:rsidP="00720AE8">
      <w:pPr>
        <w:ind w:firstLineChars="270" w:firstLine="567"/>
        <w:rPr>
          <w:szCs w:val="21"/>
        </w:rPr>
      </w:pPr>
      <w:r>
        <w:rPr>
          <w:rFonts w:hint="eastAsia"/>
          <w:szCs w:val="21"/>
        </w:rPr>
        <w:t>欧盟：《城镇</w:t>
      </w:r>
      <w:r>
        <w:rPr>
          <w:rFonts w:hint="eastAsia"/>
          <w:szCs w:val="21"/>
        </w:rPr>
        <w:t xml:space="preserve"> wastewater </w:t>
      </w:r>
      <w:r>
        <w:rPr>
          <w:rFonts w:hint="eastAsia"/>
          <w:szCs w:val="21"/>
        </w:rPr>
        <w:t>处理指令》（</w:t>
      </w:r>
      <w:r>
        <w:rPr>
          <w:rFonts w:hint="eastAsia"/>
          <w:szCs w:val="21"/>
        </w:rPr>
        <w:t>91/271/EEC</w:t>
      </w:r>
      <w:r>
        <w:rPr>
          <w:rFonts w:hint="eastAsia"/>
          <w:szCs w:val="21"/>
        </w:rPr>
        <w:t>）</w:t>
      </w:r>
    </w:p>
    <w:p w14:paraId="7FF1A343" w14:textId="77777777" w:rsidR="005727B1" w:rsidRDefault="00000000" w:rsidP="00720AE8">
      <w:pPr>
        <w:ind w:firstLineChars="270" w:firstLine="567"/>
        <w:rPr>
          <w:szCs w:val="21"/>
        </w:rPr>
      </w:pPr>
      <w:r>
        <w:rPr>
          <w:rFonts w:hint="eastAsia"/>
          <w:szCs w:val="21"/>
        </w:rPr>
        <w:t>常规区域：无统一氮限值，由成员国自行制定；</w:t>
      </w:r>
    </w:p>
    <w:p w14:paraId="74114F07" w14:textId="77777777" w:rsidR="005727B1" w:rsidRDefault="00000000" w:rsidP="00720AE8">
      <w:pPr>
        <w:ind w:firstLineChars="270" w:firstLine="567"/>
        <w:rPr>
          <w:szCs w:val="21"/>
        </w:rPr>
      </w:pPr>
      <w:r>
        <w:rPr>
          <w:rFonts w:hint="eastAsia"/>
          <w:szCs w:val="21"/>
        </w:rPr>
        <w:t>敏感区域（如湖泊、河口）：总氮≤</w:t>
      </w:r>
      <w:r>
        <w:rPr>
          <w:rFonts w:hint="eastAsia"/>
          <w:szCs w:val="21"/>
        </w:rPr>
        <w:t>10 mg/L</w:t>
      </w:r>
      <w:r>
        <w:rPr>
          <w:rFonts w:hint="eastAsia"/>
          <w:szCs w:val="21"/>
        </w:rPr>
        <w:t>。</w:t>
      </w:r>
    </w:p>
    <w:p w14:paraId="5711ABF7" w14:textId="77777777" w:rsidR="005727B1" w:rsidRDefault="00000000" w:rsidP="00720AE8">
      <w:pPr>
        <w:ind w:firstLineChars="270" w:firstLine="567"/>
        <w:rPr>
          <w:szCs w:val="21"/>
        </w:rPr>
      </w:pPr>
      <w:r>
        <w:rPr>
          <w:rFonts w:hint="eastAsia"/>
          <w:szCs w:val="21"/>
        </w:rPr>
        <w:lastRenderedPageBreak/>
        <w:t>美国</w:t>
      </w:r>
      <w:r>
        <w:rPr>
          <w:rFonts w:hint="eastAsia"/>
          <w:szCs w:val="21"/>
        </w:rPr>
        <w:t>EPA</w:t>
      </w:r>
      <w:r>
        <w:rPr>
          <w:rFonts w:hint="eastAsia"/>
          <w:szCs w:val="21"/>
        </w:rPr>
        <w:t>：淡水总氮≤</w:t>
      </w:r>
      <w:r>
        <w:rPr>
          <w:rFonts w:hint="eastAsia"/>
          <w:szCs w:val="21"/>
        </w:rPr>
        <w:t>10 mg/L</w:t>
      </w:r>
      <w:r>
        <w:rPr>
          <w:rFonts w:hint="eastAsia"/>
          <w:szCs w:val="21"/>
        </w:rPr>
        <w:t>。</w:t>
      </w:r>
    </w:p>
    <w:p w14:paraId="5BFEF646" w14:textId="77777777" w:rsidR="005727B1" w:rsidRDefault="00000000" w:rsidP="00720AE8">
      <w:pPr>
        <w:ind w:firstLineChars="270" w:firstLine="567"/>
        <w:rPr>
          <w:szCs w:val="21"/>
        </w:rPr>
      </w:pPr>
      <w:r>
        <w:rPr>
          <w:rFonts w:hint="eastAsia"/>
          <w:szCs w:val="21"/>
        </w:rPr>
        <w:t>中国：</w:t>
      </w:r>
      <w:r>
        <w:rPr>
          <w:rFonts w:hint="eastAsia"/>
          <w:szCs w:val="21"/>
        </w:rPr>
        <w:t xml:space="preserve">GB 18918-2002 </w:t>
      </w:r>
      <w:r>
        <w:rPr>
          <w:rFonts w:hint="eastAsia"/>
          <w:szCs w:val="21"/>
        </w:rPr>
        <w:t>一级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，总氮≤</w:t>
      </w:r>
      <w:r>
        <w:rPr>
          <w:rFonts w:hint="eastAsia"/>
          <w:szCs w:val="21"/>
        </w:rPr>
        <w:t>15 mg/L</w:t>
      </w:r>
      <w:r>
        <w:rPr>
          <w:rFonts w:hint="eastAsia"/>
          <w:szCs w:val="21"/>
        </w:rPr>
        <w:t>。</w:t>
      </w:r>
    </w:p>
    <w:p w14:paraId="5F3AC993" w14:textId="77777777" w:rsidR="005727B1" w:rsidRDefault="00000000" w:rsidP="00720AE8">
      <w:pPr>
        <w:ind w:firstLineChars="270" w:firstLine="567"/>
        <w:rPr>
          <w:szCs w:val="21"/>
        </w:rPr>
      </w:pPr>
      <w:r>
        <w:rPr>
          <w:rFonts w:hint="eastAsia"/>
          <w:szCs w:val="21"/>
        </w:rPr>
        <w:t>计算基准值：</w:t>
      </w:r>
      <w:r>
        <w:rPr>
          <w:rFonts w:hint="eastAsia"/>
          <w:szCs w:val="21"/>
        </w:rPr>
        <w:t>10 mg/L</w:t>
      </w:r>
      <w:r>
        <w:rPr>
          <w:rFonts w:hint="eastAsia"/>
          <w:szCs w:val="21"/>
        </w:rPr>
        <w:t>（从严原则，取欧盟及美国敏感区标准）。</w:t>
      </w:r>
    </w:p>
    <w:p w14:paraId="6D53E6B0" w14:textId="77777777" w:rsidR="005727B1" w:rsidRDefault="00000000">
      <w:r>
        <w:rPr>
          <w:rFonts w:hint="eastAsia"/>
        </w:rPr>
        <w:t>4.2</w:t>
      </w:r>
      <w:r>
        <w:t>钻井液中其他含氮成分的</w:t>
      </w:r>
      <w:proofErr w:type="gramStart"/>
      <w:r>
        <w:t>氮贡献</w:t>
      </w:r>
      <w:proofErr w:type="gramEnd"/>
      <w:r>
        <w:t>计算</w:t>
      </w:r>
    </w:p>
    <w:p w14:paraId="46C5E96B" w14:textId="77777777" w:rsidR="005727B1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4 </w:t>
      </w:r>
      <w:r>
        <w:rPr>
          <w:rFonts w:hint="eastAsia"/>
          <w:szCs w:val="21"/>
        </w:rPr>
        <w:t>中</w:t>
      </w:r>
      <w:r>
        <w:rPr>
          <w:szCs w:val="21"/>
        </w:rPr>
        <w:t>主要含氮添加剂及参数假设（保守估计）</w:t>
      </w:r>
    </w:p>
    <w:tbl>
      <w:tblPr>
        <w:tblW w:w="5004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4"/>
        <w:gridCol w:w="1814"/>
        <w:gridCol w:w="1274"/>
        <w:gridCol w:w="2090"/>
        <w:gridCol w:w="2075"/>
      </w:tblGrid>
      <w:tr w:rsidR="005727B1" w14:paraId="053D570A" w14:textId="77777777">
        <w:tc>
          <w:tcPr>
            <w:tcW w:w="1000" w:type="pct"/>
            <w:tcBorders>
              <w:tl2br w:val="nil"/>
              <w:tr2bl w:val="nil"/>
            </w:tcBorders>
            <w:vAlign w:val="center"/>
          </w:tcPr>
          <w:p w14:paraId="319894E6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含氮添加剂类型</w:t>
            </w:r>
          </w:p>
        </w:tc>
        <w:tc>
          <w:tcPr>
            <w:tcW w:w="1000" w:type="pct"/>
            <w:tcBorders>
              <w:tl2br w:val="nil"/>
              <w:tr2bl w:val="nil"/>
            </w:tcBorders>
            <w:vAlign w:val="center"/>
          </w:tcPr>
          <w:p w14:paraId="45950C07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添加比例（质量分数）</w:t>
            </w:r>
          </w:p>
        </w:tc>
        <w:tc>
          <w:tcPr>
            <w:tcW w:w="702" w:type="pct"/>
            <w:tcBorders>
              <w:tl2br w:val="nil"/>
              <w:tr2bl w:val="nil"/>
            </w:tcBorders>
            <w:vAlign w:val="center"/>
          </w:tcPr>
          <w:p w14:paraId="01FB4588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氮元素质量分数</w:t>
            </w:r>
          </w:p>
        </w:tc>
        <w:tc>
          <w:tcPr>
            <w:tcW w:w="1152" w:type="pct"/>
            <w:tcBorders>
              <w:tl2br w:val="nil"/>
              <w:tr2bl w:val="nil"/>
            </w:tcBorders>
            <w:vAlign w:val="center"/>
          </w:tcPr>
          <w:p w14:paraId="1FA735D8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钻井液中氮浓度（mg/L）</w:t>
            </w:r>
          </w:p>
        </w:tc>
        <w:tc>
          <w:tcPr>
            <w:tcW w:w="1144" w:type="pct"/>
            <w:tcBorders>
              <w:tl2br w:val="nil"/>
              <w:tr2bl w:val="nil"/>
            </w:tcBorders>
            <w:vAlign w:val="center"/>
          </w:tcPr>
          <w:p w14:paraId="6CC9653A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备注</w:t>
            </w:r>
          </w:p>
        </w:tc>
      </w:tr>
      <w:tr w:rsidR="005727B1" w14:paraId="0F462CD3" w14:textId="77777777">
        <w:tc>
          <w:tcPr>
            <w:tcW w:w="1000" w:type="pct"/>
            <w:tcBorders>
              <w:tl2br w:val="nil"/>
              <w:tr2bl w:val="nil"/>
            </w:tcBorders>
            <w:vAlign w:val="center"/>
          </w:tcPr>
          <w:p w14:paraId="1D40BC94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聚胺类页岩抑制剂</w:t>
            </w:r>
          </w:p>
        </w:tc>
        <w:tc>
          <w:tcPr>
            <w:tcW w:w="1000" w:type="pct"/>
            <w:tcBorders>
              <w:tl2br w:val="nil"/>
              <w:tr2bl w:val="nil"/>
            </w:tcBorders>
            <w:vAlign w:val="center"/>
          </w:tcPr>
          <w:p w14:paraId="578F381B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0.5%（5 g/L）</w:t>
            </w:r>
          </w:p>
        </w:tc>
        <w:tc>
          <w:tcPr>
            <w:tcW w:w="702" w:type="pct"/>
            <w:tcBorders>
              <w:tl2br w:val="nil"/>
              <w:tr2bl w:val="nil"/>
            </w:tcBorders>
            <w:vAlign w:val="center"/>
          </w:tcPr>
          <w:p w14:paraId="2C684272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8%</w:t>
            </w:r>
          </w:p>
        </w:tc>
        <w:tc>
          <w:tcPr>
            <w:tcW w:w="1152" w:type="pct"/>
            <w:tcBorders>
              <w:tl2br w:val="nil"/>
              <w:tr2bl w:val="nil"/>
            </w:tcBorders>
            <w:vAlign w:val="center"/>
          </w:tcPr>
          <w:p w14:paraId="36C9D2B3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5g/L×8%=400 mg/L</w:t>
            </w:r>
          </w:p>
        </w:tc>
        <w:tc>
          <w:tcPr>
            <w:tcW w:w="1144" w:type="pct"/>
            <w:tcBorders>
              <w:tl2br w:val="nil"/>
              <w:tr2bl w:val="nil"/>
            </w:tcBorders>
            <w:vAlign w:val="center"/>
          </w:tcPr>
          <w:p w14:paraId="77A4FB36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保守假设氮含量（</w:t>
            </w:r>
            <w:proofErr w:type="gramStart"/>
            <w:r>
              <w:rPr>
                <w:rFonts w:hAnsi="宋体" w:hint="eastAsia"/>
                <w:sz w:val="18"/>
                <w:szCs w:val="18"/>
              </w:rPr>
              <w:t>实际约</w:t>
            </w:r>
            <w:proofErr w:type="gramEnd"/>
            <w:r>
              <w:rPr>
                <w:rFonts w:hAnsi="宋体" w:hint="eastAsia"/>
                <w:sz w:val="18"/>
                <w:szCs w:val="18"/>
              </w:rPr>
              <w:t>5%-12%）</w:t>
            </w:r>
          </w:p>
        </w:tc>
      </w:tr>
      <w:tr w:rsidR="005727B1" w14:paraId="11341D29" w14:textId="77777777">
        <w:tc>
          <w:tcPr>
            <w:tcW w:w="1000" w:type="pct"/>
            <w:tcBorders>
              <w:tl2br w:val="nil"/>
              <w:tr2bl w:val="nil"/>
            </w:tcBorders>
            <w:vAlign w:val="center"/>
          </w:tcPr>
          <w:p w14:paraId="123244D7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proofErr w:type="gramStart"/>
            <w:r>
              <w:rPr>
                <w:rFonts w:hAnsi="宋体" w:hint="eastAsia"/>
                <w:sz w:val="18"/>
                <w:szCs w:val="18"/>
              </w:rPr>
              <w:t>胺</w:t>
            </w:r>
            <w:proofErr w:type="gramEnd"/>
            <w:r>
              <w:rPr>
                <w:rFonts w:hAnsi="宋体" w:hint="eastAsia"/>
                <w:sz w:val="18"/>
                <w:szCs w:val="18"/>
              </w:rPr>
              <w:t>盐类处理剂</w:t>
            </w:r>
          </w:p>
        </w:tc>
        <w:tc>
          <w:tcPr>
            <w:tcW w:w="1000" w:type="pct"/>
            <w:tcBorders>
              <w:tl2br w:val="nil"/>
              <w:tr2bl w:val="nil"/>
            </w:tcBorders>
            <w:vAlign w:val="center"/>
          </w:tcPr>
          <w:p w14:paraId="2D87A9B3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0.3%（3 g/L）</w:t>
            </w:r>
          </w:p>
        </w:tc>
        <w:tc>
          <w:tcPr>
            <w:tcW w:w="702" w:type="pct"/>
            <w:tcBorders>
              <w:tl2br w:val="nil"/>
              <w:tr2bl w:val="nil"/>
            </w:tcBorders>
            <w:vAlign w:val="center"/>
          </w:tcPr>
          <w:p w14:paraId="4885F757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6%</w:t>
            </w:r>
          </w:p>
        </w:tc>
        <w:tc>
          <w:tcPr>
            <w:tcW w:w="1152" w:type="pct"/>
            <w:tcBorders>
              <w:tl2br w:val="nil"/>
              <w:tr2bl w:val="nil"/>
            </w:tcBorders>
            <w:vAlign w:val="center"/>
          </w:tcPr>
          <w:p w14:paraId="566EB11A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3g/L×6%=180 mg/L</w:t>
            </w:r>
          </w:p>
        </w:tc>
        <w:tc>
          <w:tcPr>
            <w:tcW w:w="1144" w:type="pct"/>
            <w:tcBorders>
              <w:tl2br w:val="nil"/>
              <w:tr2bl w:val="nil"/>
            </w:tcBorders>
            <w:vAlign w:val="center"/>
          </w:tcPr>
          <w:p w14:paraId="6F8D0CE2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如有机</w:t>
            </w:r>
            <w:proofErr w:type="gramStart"/>
            <w:r>
              <w:rPr>
                <w:rFonts w:hAnsi="宋体" w:hint="eastAsia"/>
                <w:sz w:val="18"/>
                <w:szCs w:val="18"/>
              </w:rPr>
              <w:t>胺</w:t>
            </w:r>
            <w:proofErr w:type="gramEnd"/>
            <w:r>
              <w:rPr>
                <w:rFonts w:hAnsi="宋体" w:hint="eastAsia"/>
                <w:sz w:val="18"/>
                <w:szCs w:val="18"/>
              </w:rPr>
              <w:t>盐酸盐</w:t>
            </w:r>
          </w:p>
        </w:tc>
      </w:tr>
      <w:tr w:rsidR="005727B1" w14:paraId="4616A397" w14:textId="77777777">
        <w:tc>
          <w:tcPr>
            <w:tcW w:w="1000" w:type="pct"/>
            <w:tcBorders>
              <w:tl2br w:val="nil"/>
              <w:tr2bl w:val="nil"/>
            </w:tcBorders>
            <w:vAlign w:val="center"/>
          </w:tcPr>
          <w:p w14:paraId="174F6678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杀菌剂（季铵盐）</w:t>
            </w:r>
          </w:p>
        </w:tc>
        <w:tc>
          <w:tcPr>
            <w:tcW w:w="1000" w:type="pct"/>
            <w:tcBorders>
              <w:tl2br w:val="nil"/>
              <w:tr2bl w:val="nil"/>
            </w:tcBorders>
            <w:vAlign w:val="center"/>
          </w:tcPr>
          <w:p w14:paraId="5C1AC263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0.2%（2 g/L）</w:t>
            </w:r>
          </w:p>
        </w:tc>
        <w:tc>
          <w:tcPr>
            <w:tcW w:w="702" w:type="pct"/>
            <w:tcBorders>
              <w:tl2br w:val="nil"/>
              <w:tr2bl w:val="nil"/>
            </w:tcBorders>
            <w:vAlign w:val="center"/>
          </w:tcPr>
          <w:p w14:paraId="09A04408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5%</w:t>
            </w:r>
          </w:p>
        </w:tc>
        <w:tc>
          <w:tcPr>
            <w:tcW w:w="1152" w:type="pct"/>
            <w:tcBorders>
              <w:tl2br w:val="nil"/>
              <w:tr2bl w:val="nil"/>
            </w:tcBorders>
            <w:vAlign w:val="center"/>
          </w:tcPr>
          <w:p w14:paraId="645EA83E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2g/L×5%=100 mg/L</w:t>
            </w:r>
          </w:p>
        </w:tc>
        <w:tc>
          <w:tcPr>
            <w:tcW w:w="1144" w:type="pct"/>
            <w:tcBorders>
              <w:tl2br w:val="nil"/>
              <w:tr2bl w:val="nil"/>
            </w:tcBorders>
            <w:vAlign w:val="center"/>
          </w:tcPr>
          <w:p w14:paraId="1E693B5A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proofErr w:type="gramStart"/>
            <w:r>
              <w:rPr>
                <w:rFonts w:hAnsi="宋体" w:hint="eastAsia"/>
                <w:sz w:val="18"/>
                <w:szCs w:val="18"/>
              </w:rPr>
              <w:t>典型季</w:t>
            </w:r>
            <w:proofErr w:type="gramEnd"/>
            <w:r>
              <w:rPr>
                <w:rFonts w:hAnsi="宋体" w:hint="eastAsia"/>
                <w:sz w:val="18"/>
                <w:szCs w:val="18"/>
              </w:rPr>
              <w:t>铵盐氮含量</w:t>
            </w:r>
          </w:p>
        </w:tc>
      </w:tr>
      <w:tr w:rsidR="005727B1" w14:paraId="05009CA9" w14:textId="77777777">
        <w:tc>
          <w:tcPr>
            <w:tcW w:w="1000" w:type="pct"/>
            <w:tcBorders>
              <w:tl2br w:val="nil"/>
              <w:tr2bl w:val="nil"/>
            </w:tcBorders>
            <w:vAlign w:val="center"/>
          </w:tcPr>
          <w:p w14:paraId="6D8EC506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合计</w:t>
            </w:r>
          </w:p>
        </w:tc>
        <w:tc>
          <w:tcPr>
            <w:tcW w:w="1000" w:type="pct"/>
            <w:tcBorders>
              <w:tl2br w:val="nil"/>
              <w:tr2bl w:val="nil"/>
            </w:tcBorders>
            <w:vAlign w:val="center"/>
          </w:tcPr>
          <w:p w14:paraId="192969F9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-</w:t>
            </w:r>
          </w:p>
        </w:tc>
        <w:tc>
          <w:tcPr>
            <w:tcW w:w="702" w:type="pct"/>
            <w:tcBorders>
              <w:tl2br w:val="nil"/>
              <w:tr2bl w:val="nil"/>
            </w:tcBorders>
            <w:vAlign w:val="center"/>
          </w:tcPr>
          <w:p w14:paraId="64D3336C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-</w:t>
            </w:r>
          </w:p>
        </w:tc>
        <w:tc>
          <w:tcPr>
            <w:tcW w:w="1152" w:type="pct"/>
            <w:tcBorders>
              <w:tl2br w:val="nil"/>
              <w:tr2bl w:val="nil"/>
            </w:tcBorders>
            <w:vAlign w:val="center"/>
          </w:tcPr>
          <w:p w14:paraId="15689865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680 mg/L</w:t>
            </w:r>
          </w:p>
        </w:tc>
        <w:tc>
          <w:tcPr>
            <w:tcW w:w="1144" w:type="pct"/>
            <w:tcBorders>
              <w:tl2br w:val="nil"/>
              <w:tr2bl w:val="nil"/>
            </w:tcBorders>
            <w:vAlign w:val="center"/>
          </w:tcPr>
          <w:p w14:paraId="68AB0C38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钻井液中总氮（其他来源）</w:t>
            </w:r>
          </w:p>
        </w:tc>
      </w:tr>
    </w:tbl>
    <w:p w14:paraId="0386AA7B" w14:textId="77777777" w:rsidR="005727B1" w:rsidRDefault="00000000">
      <w:pPr>
        <w:rPr>
          <w:szCs w:val="21"/>
        </w:rPr>
      </w:pPr>
      <w:r>
        <w:rPr>
          <w:rFonts w:hint="eastAsia"/>
          <w:szCs w:val="21"/>
        </w:rPr>
        <w:t>4.3</w:t>
      </w:r>
      <w:r>
        <w:rPr>
          <w:szCs w:val="21"/>
        </w:rPr>
        <w:t>稀释</w:t>
      </w:r>
      <w:proofErr w:type="gramStart"/>
      <w:r>
        <w:rPr>
          <w:szCs w:val="21"/>
        </w:rPr>
        <w:t>后其他</w:t>
      </w:r>
      <w:proofErr w:type="gramEnd"/>
      <w:r>
        <w:rPr>
          <w:szCs w:val="21"/>
        </w:rPr>
        <w:t>含氮成分的氮浓度</w:t>
      </w:r>
    </w:p>
    <w:p w14:paraId="6046F52B" w14:textId="77777777" w:rsidR="005727B1" w:rsidRDefault="00000000">
      <w:pPr>
        <w:ind w:firstLineChars="135" w:firstLine="283"/>
        <w:rPr>
          <w:szCs w:val="21"/>
        </w:rPr>
      </w:pPr>
      <w:r>
        <w:rPr>
          <w:szCs w:val="21"/>
        </w:rPr>
        <w:t>假设钻井液经污水处理后按</w:t>
      </w:r>
      <w:r>
        <w:rPr>
          <w:szCs w:val="21"/>
        </w:rPr>
        <w:t>1:200</w:t>
      </w:r>
      <w:r>
        <w:rPr>
          <w:szCs w:val="21"/>
        </w:rPr>
        <w:t>比例稀释（</w:t>
      </w:r>
      <w:r>
        <w:rPr>
          <w:szCs w:val="21"/>
        </w:rPr>
        <w:t>1L</w:t>
      </w:r>
      <w:r>
        <w:rPr>
          <w:szCs w:val="21"/>
        </w:rPr>
        <w:t>钻井液混入</w:t>
      </w:r>
      <w:r>
        <w:rPr>
          <w:szCs w:val="21"/>
        </w:rPr>
        <w:t>199L</w:t>
      </w:r>
      <w:r>
        <w:rPr>
          <w:szCs w:val="21"/>
        </w:rPr>
        <w:t>水，模拟现场排放稀释场景）：</w:t>
      </w:r>
    </w:p>
    <w:p w14:paraId="1D384D36" w14:textId="77777777" w:rsidR="005727B1" w:rsidRDefault="00000000">
      <w:pPr>
        <w:ind w:firstLineChars="135" w:firstLine="283"/>
        <w:rPr>
          <w:szCs w:val="21"/>
        </w:rPr>
      </w:pPr>
      <w:r>
        <w:rPr>
          <w:szCs w:val="21"/>
        </w:rPr>
        <w:t>稀释</w:t>
      </w:r>
      <w:proofErr w:type="gramStart"/>
      <w:r>
        <w:rPr>
          <w:szCs w:val="21"/>
        </w:rPr>
        <w:t>后其他</w:t>
      </w:r>
      <w:proofErr w:type="gramEnd"/>
      <w:r>
        <w:rPr>
          <w:szCs w:val="21"/>
        </w:rPr>
        <w:t>成分氮浓度</w:t>
      </w:r>
      <w:r>
        <w:rPr>
          <w:szCs w:val="21"/>
        </w:rPr>
        <w:t xml:space="preserve"> = 680 mg/L ÷ 200 =3.4 mg/L</w:t>
      </w:r>
      <w:r>
        <w:rPr>
          <w:szCs w:val="21"/>
        </w:rPr>
        <w:t>。</w:t>
      </w:r>
    </w:p>
    <w:p w14:paraId="13F6DB40" w14:textId="77777777" w:rsidR="005727B1" w:rsidRDefault="00000000">
      <w:pPr>
        <w:ind w:firstLineChars="135" w:firstLine="283"/>
        <w:rPr>
          <w:szCs w:val="21"/>
        </w:rPr>
      </w:pPr>
      <w:r>
        <w:rPr>
          <w:szCs w:val="21"/>
        </w:rPr>
        <w:t>三聚磷酸钠的氮容量分配与限定值计算</w:t>
      </w:r>
    </w:p>
    <w:p w14:paraId="0045D66F" w14:textId="77777777" w:rsidR="005727B1" w:rsidRDefault="00000000">
      <w:pPr>
        <w:ind w:firstLineChars="135" w:firstLine="283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）剩余氮容量计算</w:t>
      </w:r>
    </w:p>
    <w:p w14:paraId="12400BF0" w14:textId="77777777" w:rsidR="005727B1" w:rsidRDefault="00000000">
      <w:pPr>
        <w:ind w:firstLineChars="135" w:firstLine="283"/>
        <w:rPr>
          <w:szCs w:val="21"/>
        </w:rPr>
      </w:pPr>
      <w:r>
        <w:rPr>
          <w:szCs w:val="21"/>
        </w:rPr>
        <w:t>总氮排放标准限值为</w:t>
      </w:r>
      <w:r>
        <w:rPr>
          <w:szCs w:val="21"/>
        </w:rPr>
        <w:t>10 mg/L</w:t>
      </w:r>
      <w:r>
        <w:rPr>
          <w:szCs w:val="21"/>
        </w:rPr>
        <w:t>，其他成分贡献</w:t>
      </w:r>
      <w:r>
        <w:rPr>
          <w:szCs w:val="21"/>
        </w:rPr>
        <w:t>3.4 mg/L</w:t>
      </w:r>
      <w:r>
        <w:rPr>
          <w:szCs w:val="21"/>
        </w:rPr>
        <w:t>，故三聚磷酸钠允许贡献的氮浓度为：</w:t>
      </w:r>
    </w:p>
    <w:p w14:paraId="3E169EBA" w14:textId="77777777" w:rsidR="005727B1" w:rsidRDefault="00000000">
      <w:pPr>
        <w:ind w:firstLineChars="135" w:firstLine="283"/>
        <w:rPr>
          <w:szCs w:val="21"/>
        </w:rPr>
      </w:pPr>
      <w:r>
        <w:rPr>
          <w:szCs w:val="21"/>
        </w:rPr>
        <w:t>剩余氮容量</w:t>
      </w:r>
      <w:r>
        <w:rPr>
          <w:szCs w:val="21"/>
        </w:rPr>
        <w:t xml:space="preserve"> = 10 mg/L - 3.4 mg/L = 6.6 mg/L</w:t>
      </w:r>
      <w:r>
        <w:rPr>
          <w:szCs w:val="21"/>
        </w:rPr>
        <w:t>（稀释后）。</w:t>
      </w:r>
    </w:p>
    <w:p w14:paraId="04D411AF" w14:textId="77777777" w:rsidR="005727B1" w:rsidRDefault="00000000">
      <w:pPr>
        <w:ind w:firstLineChars="135" w:firstLine="283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）三聚磷酸钠添加比例与稀释关系</w:t>
      </w:r>
    </w:p>
    <w:p w14:paraId="56B71088" w14:textId="77777777" w:rsidR="005727B1" w:rsidRDefault="00000000">
      <w:pPr>
        <w:ind w:firstLineChars="135" w:firstLine="283"/>
        <w:rPr>
          <w:szCs w:val="21"/>
        </w:rPr>
      </w:pPr>
      <w:r>
        <w:rPr>
          <w:szCs w:val="21"/>
        </w:rPr>
        <w:t></w:t>
      </w:r>
      <w:r>
        <w:rPr>
          <w:szCs w:val="21"/>
        </w:rPr>
        <w:t>三聚磷酸钠典型添加比例：</w:t>
      </w:r>
      <w:r>
        <w:rPr>
          <w:szCs w:val="21"/>
        </w:rPr>
        <w:t>0.4%</w:t>
      </w:r>
      <w:r>
        <w:rPr>
          <w:szCs w:val="21"/>
        </w:rPr>
        <w:t>（</w:t>
      </w:r>
      <w:r>
        <w:rPr>
          <w:szCs w:val="21"/>
        </w:rPr>
        <w:t>4 g/L</w:t>
      </w:r>
      <w:r>
        <w:rPr>
          <w:szCs w:val="21"/>
        </w:rPr>
        <w:t>钻井液，中间值）；</w:t>
      </w:r>
    </w:p>
    <w:p w14:paraId="480226D2" w14:textId="77777777" w:rsidR="005727B1" w:rsidRDefault="00000000">
      <w:pPr>
        <w:ind w:firstLineChars="135" w:firstLine="283"/>
        <w:rPr>
          <w:szCs w:val="21"/>
        </w:rPr>
      </w:pPr>
      <w:r>
        <w:rPr>
          <w:szCs w:val="21"/>
        </w:rPr>
        <w:t></w:t>
      </w:r>
      <w:r>
        <w:rPr>
          <w:szCs w:val="21"/>
        </w:rPr>
        <w:t>稀释倍数：</w:t>
      </w:r>
      <w:r>
        <w:rPr>
          <w:szCs w:val="21"/>
        </w:rPr>
        <w:t>200</w:t>
      </w:r>
      <w:r>
        <w:rPr>
          <w:szCs w:val="21"/>
        </w:rPr>
        <w:t>（同前）。</w:t>
      </w:r>
    </w:p>
    <w:p w14:paraId="159811F8" w14:textId="77777777" w:rsidR="005727B1" w:rsidRDefault="00000000">
      <w:pPr>
        <w:ind w:firstLineChars="135" w:firstLine="283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）三聚磷酸钠氮限定值（氮含量）计算</w:t>
      </w:r>
    </w:p>
    <w:p w14:paraId="05F61C1B" w14:textId="77777777" w:rsidR="005727B1" w:rsidRDefault="00000000">
      <w:pPr>
        <w:ind w:firstLineChars="333" w:firstLine="699"/>
        <w:rPr>
          <w:szCs w:val="21"/>
        </w:rPr>
      </w:pPr>
      <w:r>
        <w:rPr>
          <w:szCs w:val="21"/>
        </w:rPr>
        <w:t>设三聚磷酸钠中</w:t>
      </w:r>
      <w:proofErr w:type="gramStart"/>
      <w:r>
        <w:rPr>
          <w:szCs w:val="21"/>
        </w:rPr>
        <w:t>氮质量</w:t>
      </w:r>
      <w:proofErr w:type="gramEnd"/>
      <w:r>
        <w:rPr>
          <w:szCs w:val="21"/>
        </w:rPr>
        <w:t>分数为</w:t>
      </w:r>
      <w:r>
        <w:rPr>
          <w:szCs w:val="21"/>
        </w:rPr>
        <w:t xml:space="preserve"> ( x )</w:t>
      </w:r>
      <w:r>
        <w:rPr>
          <w:szCs w:val="21"/>
        </w:rPr>
        <w:t>，则：</w:t>
      </w:r>
    </w:p>
    <w:p w14:paraId="4DA0F673" w14:textId="77777777" w:rsidR="005727B1" w:rsidRDefault="00000000">
      <w:pPr>
        <w:ind w:firstLineChars="333" w:firstLine="699"/>
        <w:rPr>
          <w:szCs w:val="21"/>
        </w:rPr>
      </w:pPr>
      <w:r>
        <w:rPr>
          <w:szCs w:val="21"/>
        </w:rPr>
        <w:t>钻井液中三聚磷酸钠氮浓度</w:t>
      </w:r>
      <w:r>
        <w:rPr>
          <w:szCs w:val="21"/>
        </w:rPr>
        <w:t>=4 g/</w:t>
      </w:r>
      <w:proofErr w:type="spellStart"/>
      <w:r>
        <w:rPr>
          <w:szCs w:val="21"/>
        </w:rPr>
        <w:t>L×x</w:t>
      </w:r>
      <w:proofErr w:type="spellEnd"/>
      <w:r>
        <w:rPr>
          <w:szCs w:val="21"/>
        </w:rPr>
        <w:t>=4000x mg/L</w:t>
      </w:r>
    </w:p>
    <w:p w14:paraId="331B6DEC" w14:textId="77777777" w:rsidR="005727B1" w:rsidRDefault="00000000">
      <w:pPr>
        <w:ind w:leftChars="300" w:left="630" w:firstLineChars="30" w:firstLine="63"/>
        <w:rPr>
          <w:szCs w:val="21"/>
        </w:rPr>
      </w:pPr>
      <w:r>
        <w:rPr>
          <w:szCs w:val="21"/>
        </w:rPr>
        <w:t>稀释后三聚磷酸钠的氮浓度（经</w:t>
      </w:r>
      <w:r>
        <w:rPr>
          <w:szCs w:val="21"/>
        </w:rPr>
        <w:t>1:200</w:t>
      </w:r>
      <w:r>
        <w:rPr>
          <w:szCs w:val="21"/>
        </w:rPr>
        <w:t>稀释）：稀释后三聚磷酸钠的氮浓度</w:t>
      </w:r>
      <w:r>
        <w:rPr>
          <w:rFonts w:hint="eastAsia"/>
          <w:szCs w:val="21"/>
        </w:rPr>
        <w:t>=</w:t>
      </w:r>
      <w:r>
        <w:rPr>
          <w:rFonts w:hint="eastAsia"/>
          <w:szCs w:val="21"/>
        </w:rPr>
        <w:t>钻井液中三聚磷酸钠氮浓度</w:t>
      </w:r>
      <w:r>
        <w:rPr>
          <w:rFonts w:hint="eastAsia"/>
          <w:szCs w:val="21"/>
        </w:rPr>
        <w:t>/</w:t>
      </w:r>
      <w:r>
        <w:rPr>
          <w:rFonts w:hint="eastAsia"/>
          <w:szCs w:val="21"/>
        </w:rPr>
        <w:t>稀释倍数</w:t>
      </w:r>
      <w:r>
        <w:rPr>
          <w:rFonts w:hint="eastAsia"/>
          <w:szCs w:val="21"/>
        </w:rPr>
        <w:t>=20x</w:t>
      </w:r>
    </w:p>
    <w:p w14:paraId="3E54CFE6" w14:textId="77777777" w:rsidR="005727B1" w:rsidRDefault="00000000">
      <w:pPr>
        <w:ind w:firstLineChars="333" w:firstLine="699"/>
        <w:rPr>
          <w:szCs w:val="21"/>
        </w:rPr>
      </w:pPr>
      <w:r>
        <w:rPr>
          <w:szCs w:val="21"/>
        </w:rPr>
        <w:t>稀释后三聚磷酸钠的氮浓度需等于剩余氮容量（</w:t>
      </w:r>
      <w:r>
        <w:rPr>
          <w:szCs w:val="21"/>
        </w:rPr>
        <w:t>6.6 mg/L</w:t>
      </w:r>
      <w:r>
        <w:rPr>
          <w:szCs w:val="21"/>
        </w:rPr>
        <w:t>），即：</w:t>
      </w:r>
      <w:r>
        <w:rPr>
          <w:rFonts w:hint="eastAsia"/>
          <w:szCs w:val="21"/>
        </w:rPr>
        <w:t>20x=6.6 mg/L</w:t>
      </w:r>
    </w:p>
    <w:p w14:paraId="56B88A3D" w14:textId="7CD20635" w:rsidR="005727B1" w:rsidRDefault="00000000" w:rsidP="00720AE8">
      <w:pPr>
        <w:ind w:firstLineChars="1100" w:firstLine="2310"/>
        <w:rPr>
          <w:szCs w:val="21"/>
        </w:rPr>
      </w:pPr>
      <w:r>
        <w:rPr>
          <w:rFonts w:hint="eastAsia"/>
          <w:szCs w:val="21"/>
        </w:rPr>
        <w:t xml:space="preserve">                                </w:t>
      </w:r>
      <w:proofErr w:type="gramStart"/>
      <w:r>
        <w:rPr>
          <w:rFonts w:hint="eastAsia"/>
          <w:szCs w:val="21"/>
        </w:rPr>
        <w:t>氮质量</w:t>
      </w:r>
      <w:proofErr w:type="gramEnd"/>
      <w:r>
        <w:rPr>
          <w:rFonts w:hint="eastAsia"/>
          <w:szCs w:val="21"/>
        </w:rPr>
        <w:t>分数</w:t>
      </w:r>
      <w:r>
        <w:rPr>
          <w:rFonts w:hint="eastAsia"/>
          <w:szCs w:val="21"/>
        </w:rPr>
        <w:t>x=</w:t>
      </w:r>
      <w:r>
        <w:rPr>
          <w:szCs w:val="21"/>
        </w:rPr>
        <w:t>0.33%</w:t>
      </w:r>
    </w:p>
    <w:p w14:paraId="009C1E48" w14:textId="77777777" w:rsidR="005727B1" w:rsidRDefault="00000000">
      <w:pPr>
        <w:ind w:firstLineChars="135" w:firstLine="283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</w:rPr>
        <w:t>4</w:t>
      </w:r>
      <w:r>
        <w:rPr>
          <w:szCs w:val="21"/>
        </w:rPr>
        <w:t>）三聚磷酸钠总氮参考限定值</w:t>
      </w:r>
    </w:p>
    <w:p w14:paraId="004254A7" w14:textId="77777777" w:rsidR="005727B1" w:rsidRDefault="00000000">
      <w:pPr>
        <w:ind w:firstLineChars="333" w:firstLine="699"/>
        <w:rPr>
          <w:szCs w:val="21"/>
        </w:rPr>
      </w:pPr>
      <w:r>
        <w:rPr>
          <w:szCs w:val="21"/>
        </w:rPr>
        <w:t>0.33%</w:t>
      </w:r>
      <w:r>
        <w:rPr>
          <w:szCs w:val="21"/>
        </w:rPr>
        <w:t>（即三聚磷酸钠中</w:t>
      </w:r>
      <w:proofErr w:type="gramStart"/>
      <w:r>
        <w:rPr>
          <w:szCs w:val="21"/>
        </w:rPr>
        <w:t>氮质量</w:t>
      </w:r>
      <w:proofErr w:type="gramEnd"/>
      <w:r>
        <w:rPr>
          <w:szCs w:val="21"/>
        </w:rPr>
        <w:t>分数</w:t>
      </w:r>
      <w:r>
        <w:rPr>
          <w:szCs w:val="21"/>
        </w:rPr>
        <w:t>≤0.33%</w:t>
      </w:r>
      <w:r>
        <w:rPr>
          <w:szCs w:val="21"/>
        </w:rPr>
        <w:t>），此时钻井液排放总氮可满足</w:t>
      </w:r>
      <w:r>
        <w:rPr>
          <w:szCs w:val="21"/>
        </w:rPr>
        <w:t>10 mg/L</w:t>
      </w:r>
      <w:r>
        <w:rPr>
          <w:szCs w:val="21"/>
        </w:rPr>
        <w:t>的严格标准。</w:t>
      </w:r>
    </w:p>
    <w:p w14:paraId="0BB62965" w14:textId="77777777" w:rsidR="005727B1" w:rsidRDefault="00000000">
      <w:pPr>
        <w:ind w:firstLineChars="135" w:firstLine="283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</w:rPr>
        <w:t>5</w:t>
      </w:r>
      <w:r>
        <w:rPr>
          <w:szCs w:val="21"/>
        </w:rPr>
        <w:t>）参数敏感性分析（假设调整对结果的影响）</w:t>
      </w:r>
    </w:p>
    <w:tbl>
      <w:tblPr>
        <w:tblW w:w="5003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7"/>
        <w:gridCol w:w="1917"/>
        <w:gridCol w:w="2120"/>
        <w:gridCol w:w="2411"/>
      </w:tblGrid>
      <w:tr w:rsidR="005727B1" w14:paraId="1A1D48F3" w14:textId="77777777" w:rsidTr="00720AE8">
        <w:tc>
          <w:tcPr>
            <w:tcW w:w="1443" w:type="pct"/>
            <w:tcBorders>
              <w:tl2br w:val="nil"/>
              <w:tr2bl w:val="nil"/>
            </w:tcBorders>
            <w:vAlign w:val="center"/>
          </w:tcPr>
          <w:p w14:paraId="665EB26F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调整参数</w:t>
            </w:r>
          </w:p>
        </w:tc>
        <w:tc>
          <w:tcPr>
            <w:tcW w:w="1057" w:type="pct"/>
            <w:tcBorders>
              <w:tl2br w:val="nil"/>
              <w:tr2bl w:val="nil"/>
            </w:tcBorders>
            <w:vAlign w:val="center"/>
          </w:tcPr>
          <w:p w14:paraId="59F03D3D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变化情况</w:t>
            </w:r>
          </w:p>
        </w:tc>
        <w:tc>
          <w:tcPr>
            <w:tcW w:w="1169" w:type="pct"/>
            <w:tcBorders>
              <w:tl2br w:val="nil"/>
              <w:tr2bl w:val="nil"/>
            </w:tcBorders>
            <w:vAlign w:val="center"/>
          </w:tcPr>
          <w:p w14:paraId="706A4318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三聚磷酸钠氮限定值（x）</w:t>
            </w:r>
          </w:p>
        </w:tc>
        <w:tc>
          <w:tcPr>
            <w:tcW w:w="1330" w:type="pct"/>
            <w:tcBorders>
              <w:tl2br w:val="nil"/>
              <w:tr2bl w:val="nil"/>
            </w:tcBorders>
            <w:vAlign w:val="center"/>
          </w:tcPr>
          <w:p w14:paraId="379CEC2D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结论</w:t>
            </w:r>
          </w:p>
        </w:tc>
      </w:tr>
      <w:tr w:rsidR="005727B1" w14:paraId="7F515B83" w14:textId="77777777" w:rsidTr="00720AE8">
        <w:tc>
          <w:tcPr>
            <w:tcW w:w="1443" w:type="pct"/>
            <w:tcBorders>
              <w:tl2br w:val="nil"/>
              <w:tr2bl w:val="nil"/>
            </w:tcBorders>
            <w:vAlign w:val="center"/>
          </w:tcPr>
          <w:p w14:paraId="70845A81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其他成分氮浓度降低20%</w:t>
            </w:r>
          </w:p>
        </w:tc>
        <w:tc>
          <w:tcPr>
            <w:tcW w:w="1057" w:type="pct"/>
            <w:tcBorders>
              <w:tl2br w:val="nil"/>
              <w:tr2bl w:val="nil"/>
            </w:tcBorders>
            <w:vAlign w:val="center"/>
          </w:tcPr>
          <w:p w14:paraId="20910AF7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680→544 mg/L</w:t>
            </w:r>
          </w:p>
        </w:tc>
        <w:tc>
          <w:tcPr>
            <w:tcW w:w="1169" w:type="pct"/>
            <w:tcBorders>
              <w:tl2br w:val="nil"/>
              <w:tr2bl w:val="nil"/>
            </w:tcBorders>
            <w:vAlign w:val="center"/>
          </w:tcPr>
          <w:p w14:paraId="775E6232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0.42%（提高）</w:t>
            </w:r>
          </w:p>
        </w:tc>
        <w:tc>
          <w:tcPr>
            <w:tcW w:w="1330" w:type="pct"/>
            <w:tcBorders>
              <w:tl2br w:val="nil"/>
              <w:tr2bl w:val="nil"/>
            </w:tcBorders>
            <w:vAlign w:val="center"/>
          </w:tcPr>
          <w:p w14:paraId="7AEA0867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其他成分贡献减少，容量增加</w:t>
            </w:r>
          </w:p>
        </w:tc>
      </w:tr>
      <w:tr w:rsidR="005727B1" w14:paraId="120DFFCE" w14:textId="77777777" w:rsidTr="00720AE8">
        <w:tc>
          <w:tcPr>
            <w:tcW w:w="1443" w:type="pct"/>
            <w:tcBorders>
              <w:tl2br w:val="nil"/>
              <w:tr2bl w:val="nil"/>
            </w:tcBorders>
            <w:vAlign w:val="center"/>
          </w:tcPr>
          <w:p w14:paraId="6F30B9C8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稀释倍数降至100倍</w:t>
            </w:r>
          </w:p>
        </w:tc>
        <w:tc>
          <w:tcPr>
            <w:tcW w:w="1057" w:type="pct"/>
            <w:tcBorders>
              <w:tl2br w:val="nil"/>
              <w:tr2bl w:val="nil"/>
            </w:tcBorders>
            <w:vAlign w:val="center"/>
          </w:tcPr>
          <w:p w14:paraId="3B541DF9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200→100</w:t>
            </w:r>
          </w:p>
        </w:tc>
        <w:tc>
          <w:tcPr>
            <w:tcW w:w="1169" w:type="pct"/>
            <w:tcBorders>
              <w:tl2br w:val="nil"/>
              <w:tr2bl w:val="nil"/>
            </w:tcBorders>
            <w:vAlign w:val="center"/>
          </w:tcPr>
          <w:p w14:paraId="250EBE16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0.165%（降低）</w:t>
            </w:r>
          </w:p>
        </w:tc>
        <w:tc>
          <w:tcPr>
            <w:tcW w:w="1330" w:type="pct"/>
            <w:tcBorders>
              <w:tl2br w:val="nil"/>
              <w:tr2bl w:val="nil"/>
            </w:tcBorders>
            <w:vAlign w:val="center"/>
          </w:tcPr>
          <w:p w14:paraId="419F29A9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稀释减少，需更严格控制杂质</w:t>
            </w:r>
          </w:p>
        </w:tc>
      </w:tr>
      <w:tr w:rsidR="005727B1" w14:paraId="784A9B90" w14:textId="77777777" w:rsidTr="00720AE8">
        <w:tc>
          <w:tcPr>
            <w:tcW w:w="1443" w:type="pct"/>
            <w:tcBorders>
              <w:tl2br w:val="nil"/>
              <w:tr2bl w:val="nil"/>
            </w:tcBorders>
            <w:vAlign w:val="center"/>
          </w:tcPr>
          <w:p w14:paraId="3E1B3949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三聚磷酸钠添加比例提高至0.5%</w:t>
            </w:r>
          </w:p>
        </w:tc>
        <w:tc>
          <w:tcPr>
            <w:tcW w:w="1057" w:type="pct"/>
            <w:tcBorders>
              <w:tl2br w:val="nil"/>
              <w:tr2bl w:val="nil"/>
            </w:tcBorders>
            <w:vAlign w:val="center"/>
          </w:tcPr>
          <w:p w14:paraId="357168E2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4→5 g/L</w:t>
            </w:r>
          </w:p>
        </w:tc>
        <w:tc>
          <w:tcPr>
            <w:tcW w:w="1169" w:type="pct"/>
            <w:tcBorders>
              <w:tl2br w:val="nil"/>
              <w:tr2bl w:val="nil"/>
            </w:tcBorders>
            <w:vAlign w:val="center"/>
          </w:tcPr>
          <w:p w14:paraId="5AD164E4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0.264%（降低）</w:t>
            </w:r>
          </w:p>
        </w:tc>
        <w:tc>
          <w:tcPr>
            <w:tcW w:w="1330" w:type="pct"/>
            <w:tcBorders>
              <w:tl2br w:val="nil"/>
              <w:tr2bl w:val="nil"/>
            </w:tcBorders>
            <w:vAlign w:val="center"/>
          </w:tcPr>
          <w:p w14:paraId="2E1860E9" w14:textId="77777777" w:rsidR="005727B1" w:rsidRDefault="00000000">
            <w:pPr>
              <w:pStyle w:val="a9"/>
              <w:widowControl w:val="0"/>
              <w:ind w:firstLineChars="0" w:firstLine="0"/>
              <w:jc w:val="center"/>
              <w:rPr>
                <w:rFonts w:hAnsi="宋体" w:hint="eastAsia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添加量增加，杂质容忍度降低</w:t>
            </w:r>
          </w:p>
        </w:tc>
      </w:tr>
    </w:tbl>
    <w:p w14:paraId="613EEA1B" w14:textId="77777777" w:rsidR="005727B1" w:rsidRDefault="00000000">
      <w:pPr>
        <w:ind w:firstLineChars="135" w:firstLine="283"/>
        <w:rPr>
          <w:szCs w:val="21"/>
        </w:rPr>
      </w:pPr>
      <w:r>
        <w:rPr>
          <w:rFonts w:hint="eastAsia"/>
          <w:szCs w:val="21"/>
        </w:rPr>
        <w:t>4.4</w:t>
      </w:r>
      <w:r>
        <w:rPr>
          <w:rFonts w:hint="eastAsia"/>
          <w:szCs w:val="21"/>
        </w:rPr>
        <w:t>限定值</w:t>
      </w:r>
      <w:r>
        <w:rPr>
          <w:szCs w:val="21"/>
        </w:rPr>
        <w:t>建议</w:t>
      </w:r>
    </w:p>
    <w:p w14:paraId="45A80552" w14:textId="77777777" w:rsidR="005727B1" w:rsidRDefault="00000000">
      <w:pPr>
        <w:ind w:firstLineChars="135" w:firstLine="28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</w:t>
      </w:r>
      <w:r>
        <w:rPr>
          <w:szCs w:val="21"/>
        </w:rPr>
        <w:t>理论限定值：在保守假设下，三聚磷酸钠的总氮参考限定值为</w:t>
      </w:r>
      <w:r>
        <w:rPr>
          <w:szCs w:val="21"/>
        </w:rPr>
        <w:t>0.33%</w:t>
      </w:r>
      <w:r>
        <w:rPr>
          <w:szCs w:val="21"/>
        </w:rPr>
        <w:t>（以</w:t>
      </w:r>
      <w:proofErr w:type="gramStart"/>
      <w:r>
        <w:rPr>
          <w:szCs w:val="21"/>
        </w:rPr>
        <w:t>氮质量</w:t>
      </w:r>
      <w:proofErr w:type="gramEnd"/>
      <w:r>
        <w:rPr>
          <w:szCs w:val="21"/>
        </w:rPr>
        <w:t>分数计），实际工业产品氮含量</w:t>
      </w:r>
      <w:r>
        <w:rPr>
          <w:rFonts w:hint="eastAsia"/>
          <w:szCs w:val="21"/>
        </w:rPr>
        <w:t>经检测，均</w:t>
      </w:r>
      <w:r>
        <w:rPr>
          <w:szCs w:val="21"/>
        </w:rPr>
        <w:t>＜</w:t>
      </w:r>
      <w:r>
        <w:rPr>
          <w:szCs w:val="21"/>
        </w:rPr>
        <w:t>0.01%</w:t>
      </w:r>
      <w:r>
        <w:rPr>
          <w:szCs w:val="21"/>
        </w:rPr>
        <w:t>，远低于此值。</w:t>
      </w:r>
    </w:p>
    <w:p w14:paraId="59E0E9C3" w14:textId="77777777" w:rsidR="005727B1" w:rsidRDefault="00000000">
      <w:pPr>
        <w:ind w:firstLineChars="135" w:firstLine="283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</w:t>
      </w:r>
      <w:r>
        <w:rPr>
          <w:szCs w:val="21"/>
        </w:rPr>
        <w:t>建议：</w:t>
      </w:r>
    </w:p>
    <w:p w14:paraId="2474C8EA" w14:textId="77777777" w:rsidR="005727B1" w:rsidRDefault="00000000">
      <w:pPr>
        <w:ind w:firstLineChars="234" w:firstLine="491"/>
        <w:rPr>
          <w:b/>
          <w:szCs w:val="21"/>
        </w:rPr>
      </w:pPr>
      <w:r>
        <w:rPr>
          <w:rFonts w:hint="eastAsia"/>
          <w:szCs w:val="21"/>
        </w:rPr>
        <w:t>建议</w:t>
      </w:r>
      <w:r>
        <w:rPr>
          <w:szCs w:val="21"/>
        </w:rPr>
        <w:t>参考</w:t>
      </w:r>
      <w:r>
        <w:rPr>
          <w:szCs w:val="21"/>
        </w:rPr>
        <w:t>0.1%</w:t>
      </w:r>
      <w:r>
        <w:rPr>
          <w:szCs w:val="21"/>
        </w:rPr>
        <w:t>作为三聚磷酸钠氮的内控限值（从严且留足安全余量）；</w:t>
      </w:r>
    </w:p>
    <w:p w14:paraId="2F4C8224" w14:textId="77777777" w:rsidR="005727B1" w:rsidRDefault="00000000">
      <w:pPr>
        <w:spacing w:beforeLines="50" w:before="156"/>
        <w:rPr>
          <w:b/>
          <w:szCs w:val="21"/>
        </w:rPr>
      </w:pPr>
      <w:r>
        <w:rPr>
          <w:rFonts w:hint="eastAsia"/>
          <w:b/>
          <w:szCs w:val="21"/>
        </w:rPr>
        <w:t>四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标准中如果涉及专利</w:t>
      </w:r>
    </w:p>
    <w:p w14:paraId="25295D58" w14:textId="77777777" w:rsidR="005727B1" w:rsidRDefault="00000000">
      <w:pPr>
        <w:adjustRightInd w:val="0"/>
        <w:snapToGrid w:val="0"/>
        <w:ind w:firstLineChars="200" w:firstLine="420"/>
        <w:rPr>
          <w:rFonts w:ascii="宋体"/>
          <w:szCs w:val="21"/>
        </w:rPr>
      </w:pPr>
      <w:r>
        <w:rPr>
          <w:rFonts w:ascii="宋体" w:hint="eastAsia"/>
          <w:szCs w:val="21"/>
        </w:rPr>
        <w:t>本标准中不涉及专利问题。</w:t>
      </w:r>
    </w:p>
    <w:p w14:paraId="3EEED0A3" w14:textId="77777777" w:rsidR="005727B1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lastRenderedPageBreak/>
        <w:t>五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预期达到的社会效益等情况、对产业发展的作用等情况</w:t>
      </w:r>
    </w:p>
    <w:p w14:paraId="6AC6C49F" w14:textId="77777777" w:rsidR="005727B1" w:rsidRDefault="00000000">
      <w:pPr>
        <w:adjustRightInd w:val="0"/>
        <w:snapToGrid w:val="0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szCs w:val="21"/>
        </w:rPr>
        <w:t>本标准的修订过程中做了市场商品的数据调研和大量的实验验证、与生产企业和下游用户进行了充分的讨论。</w:t>
      </w:r>
      <w:r>
        <w:rPr>
          <w:rFonts w:ascii="宋体" w:hAnsi="宋体" w:hint="eastAsia"/>
          <w:bCs/>
          <w:szCs w:val="21"/>
        </w:rPr>
        <w:t>本标准实施后，可以建立一个公正、统一的工业三聚磷酸钠产品质量评价平台，有利于保护消费者利益，促进市场良性竞争发展。</w:t>
      </w:r>
    </w:p>
    <w:p w14:paraId="6671E592" w14:textId="77777777" w:rsidR="005727B1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六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采用国际标准和国外先进标准情况</w:t>
      </w:r>
    </w:p>
    <w:p w14:paraId="3A80FBC3" w14:textId="77777777" w:rsidR="005727B1" w:rsidRDefault="00000000">
      <w:pPr>
        <w:ind w:firstLineChars="200" w:firstLine="420"/>
        <w:rPr>
          <w:rFonts w:ascii="宋体" w:hAnsi="宋体" w:hint="eastAsia"/>
        </w:rPr>
      </w:pPr>
      <w:bookmarkStart w:id="0" w:name="_Hlk108629264"/>
      <w:r>
        <w:rPr>
          <w:rFonts w:ascii="宋体" w:hAnsi="宋体" w:hint="eastAsia"/>
        </w:rPr>
        <w:t>本标准无相关国际标准。</w:t>
      </w:r>
    </w:p>
    <w:p w14:paraId="01474CFF" w14:textId="77777777" w:rsidR="005727B1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本标准制定过程中未测试国外的样品。</w:t>
      </w:r>
    </w:p>
    <w:p w14:paraId="27618E5B" w14:textId="77777777" w:rsidR="005727B1" w:rsidRDefault="00000000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</w:rPr>
        <w:t>本标准水平为国内先进水平。</w:t>
      </w:r>
      <w:bookmarkEnd w:id="0"/>
    </w:p>
    <w:p w14:paraId="649F09FB" w14:textId="77777777" w:rsidR="005727B1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七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与现行相关法律、法规、规章及相关标准，特别是强制性标准的协调性</w:t>
      </w:r>
    </w:p>
    <w:p w14:paraId="444ECE1E" w14:textId="77777777" w:rsidR="005727B1" w:rsidRDefault="00000000">
      <w:pPr>
        <w:ind w:firstLineChars="200" w:firstLine="428"/>
        <w:rPr>
          <w:rFonts w:ascii="宋体" w:hAnsi="宋体" w:hint="eastAsia"/>
          <w:spacing w:val="2"/>
        </w:rPr>
      </w:pPr>
      <w:r>
        <w:rPr>
          <w:rFonts w:ascii="宋体" w:hAnsi="宋体" w:hint="eastAsia"/>
          <w:spacing w:val="2"/>
        </w:rPr>
        <w:t>本标准与现行相关法律、法规、规章及相关标准协调一致。</w:t>
      </w:r>
    </w:p>
    <w:p w14:paraId="1E4634A9" w14:textId="77777777" w:rsidR="005727B1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八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重大分歧意见的处理经过和依据</w:t>
      </w:r>
    </w:p>
    <w:p w14:paraId="065EF01E" w14:textId="77777777" w:rsidR="005727B1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无。</w:t>
      </w:r>
    </w:p>
    <w:p w14:paraId="032E75A3" w14:textId="77777777" w:rsidR="005727B1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九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标准性质的建议说明</w:t>
      </w:r>
    </w:p>
    <w:p w14:paraId="28638D50" w14:textId="77777777" w:rsidR="005727B1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int="eastAsia"/>
          <w:kern w:val="0"/>
          <w:szCs w:val="21"/>
        </w:rPr>
        <w:t>建议本标准的性质为推荐性国家标准。</w:t>
      </w:r>
    </w:p>
    <w:p w14:paraId="0E30F828" w14:textId="77777777" w:rsidR="005727B1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贯彻标准的要求和措施建议</w:t>
      </w:r>
    </w:p>
    <w:p w14:paraId="07ACC298" w14:textId="77777777" w:rsidR="005727B1" w:rsidRDefault="00000000">
      <w:pPr>
        <w:ind w:firstLineChars="200" w:firstLine="420"/>
        <w:rPr>
          <w:rFonts w:ascii="宋体"/>
          <w:kern w:val="0"/>
          <w:szCs w:val="21"/>
        </w:rPr>
      </w:pPr>
      <w:r>
        <w:rPr>
          <w:rFonts w:hint="eastAsia"/>
        </w:rPr>
        <w:t>建议本标准批准发布</w:t>
      </w:r>
      <w:r>
        <w:t>6</w:t>
      </w:r>
      <w:r>
        <w:rPr>
          <w:rFonts w:hint="eastAsia"/>
        </w:rPr>
        <w:t>个月后实施。</w:t>
      </w:r>
    </w:p>
    <w:p w14:paraId="09B1ED35" w14:textId="77777777" w:rsidR="005727B1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十一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废止现行相关标准的建议</w:t>
      </w:r>
    </w:p>
    <w:p w14:paraId="09E5AF46" w14:textId="77777777" w:rsidR="005727B1" w:rsidRDefault="00000000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本标准发布实施后，代替</w:t>
      </w:r>
      <w:r>
        <w:rPr>
          <w:rFonts w:hint="eastAsia"/>
          <w:szCs w:val="21"/>
        </w:rPr>
        <w:t>GB/T 9983-2004</w:t>
      </w:r>
      <w:r>
        <w:rPr>
          <w:rFonts w:ascii="宋体" w:hAnsi="宋体" w:hint="eastAsia"/>
          <w:kern w:val="0"/>
          <w:szCs w:val="21"/>
        </w:rPr>
        <w:t>。</w:t>
      </w:r>
    </w:p>
    <w:p w14:paraId="4B81B991" w14:textId="77777777" w:rsidR="005727B1" w:rsidRDefault="00000000">
      <w:pPr>
        <w:rPr>
          <w:b/>
          <w:szCs w:val="21"/>
        </w:rPr>
      </w:pPr>
      <w:r>
        <w:rPr>
          <w:rFonts w:hint="eastAsia"/>
          <w:b/>
          <w:szCs w:val="21"/>
        </w:rPr>
        <w:t>十二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其它应予说明的事项</w:t>
      </w:r>
    </w:p>
    <w:p w14:paraId="4AB8BECD" w14:textId="77777777" w:rsidR="005727B1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无</w:t>
      </w:r>
    </w:p>
    <w:p w14:paraId="2C7C911F" w14:textId="77777777" w:rsidR="005727B1" w:rsidRDefault="005727B1">
      <w:pPr>
        <w:ind w:firstLineChars="200" w:firstLine="420"/>
        <w:rPr>
          <w:rFonts w:ascii="宋体" w:hAnsi="宋体" w:hint="eastAsia"/>
        </w:rPr>
      </w:pPr>
    </w:p>
    <w:p w14:paraId="41D81326" w14:textId="77777777" w:rsidR="005727B1" w:rsidRDefault="005727B1">
      <w:pPr>
        <w:ind w:firstLineChars="200" w:firstLine="420"/>
        <w:rPr>
          <w:rFonts w:ascii="宋体" w:hAnsi="宋体" w:hint="eastAsia"/>
        </w:rPr>
      </w:pPr>
    </w:p>
    <w:p w14:paraId="19637E2F" w14:textId="77777777" w:rsidR="005727B1" w:rsidRDefault="00000000">
      <w:pPr>
        <w:adjustRightInd w:val="0"/>
        <w:snapToGrid w:val="0"/>
        <w:ind w:firstLine="420"/>
        <w:jc w:val="righ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标准编制小组</w:t>
      </w:r>
    </w:p>
    <w:p w14:paraId="18ECA1B3" w14:textId="6C033F32" w:rsidR="005727B1" w:rsidRDefault="00000000">
      <w:pPr>
        <w:adjustRightInd w:val="0"/>
        <w:snapToGrid w:val="0"/>
        <w:ind w:firstLine="420"/>
        <w:jc w:val="right"/>
        <w:rPr>
          <w:b/>
          <w:szCs w:val="21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/>
          <w:szCs w:val="21"/>
        </w:rPr>
        <w:t>02</w:t>
      </w:r>
      <w:r>
        <w:rPr>
          <w:rFonts w:ascii="宋体" w:hAnsi="宋体" w:hint="eastAsia"/>
          <w:szCs w:val="21"/>
        </w:rPr>
        <w:t>5年</w:t>
      </w:r>
      <w:r w:rsidR="00720AE8">
        <w:rPr>
          <w:rFonts w:ascii="宋体" w:hAnsi="宋体" w:hint="eastAsia"/>
          <w:szCs w:val="21"/>
        </w:rPr>
        <w:t>9</w:t>
      </w:r>
      <w:r>
        <w:rPr>
          <w:rFonts w:ascii="宋体" w:hAnsi="宋体" w:hint="eastAsia"/>
          <w:szCs w:val="21"/>
        </w:rPr>
        <w:t>月</w:t>
      </w:r>
    </w:p>
    <w:p w14:paraId="49041496" w14:textId="77777777" w:rsidR="009617E2" w:rsidRDefault="009617E2"/>
    <w:sectPr w:rsidR="009617E2">
      <w:headerReference w:type="default" r:id="rId7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D708B" w14:textId="77777777" w:rsidR="0014504C" w:rsidRDefault="0014504C">
      <w:r>
        <w:separator/>
      </w:r>
    </w:p>
  </w:endnote>
  <w:endnote w:type="continuationSeparator" w:id="0">
    <w:p w14:paraId="28B32C0C" w14:textId="77777777" w:rsidR="0014504C" w:rsidRDefault="00145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FFA92" w14:textId="77777777" w:rsidR="0014504C" w:rsidRDefault="0014504C">
      <w:r>
        <w:separator/>
      </w:r>
    </w:p>
  </w:footnote>
  <w:footnote w:type="continuationSeparator" w:id="0">
    <w:p w14:paraId="0774879D" w14:textId="77777777" w:rsidR="0014504C" w:rsidRDefault="00145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14456" w14:textId="77777777" w:rsidR="005727B1" w:rsidRDefault="005727B1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E8614F"/>
    <w:multiLevelType w:val="singleLevel"/>
    <w:tmpl w:val="A2E8614F"/>
    <w:lvl w:ilvl="0">
      <w:start w:val="1"/>
      <w:numFmt w:val="lowerLetter"/>
      <w:suff w:val="nothing"/>
      <w:lvlText w:val="%1）"/>
      <w:lvlJc w:val="left"/>
    </w:lvl>
  </w:abstractNum>
  <w:abstractNum w:abstractNumId="1" w15:restartNumberingAfterBreak="0">
    <w:nsid w:val="1E9B13CC"/>
    <w:multiLevelType w:val="singleLevel"/>
    <w:tmpl w:val="1E9B13CC"/>
    <w:lvl w:ilvl="0">
      <w:start w:val="2"/>
      <w:numFmt w:val="decimal"/>
      <w:suff w:val="nothing"/>
      <w:lvlText w:val="%1、"/>
      <w:lvlJc w:val="left"/>
    </w:lvl>
  </w:abstractNum>
  <w:abstractNum w:abstractNumId="2" w15:restartNumberingAfterBreak="0">
    <w:nsid w:val="29AA8454"/>
    <w:multiLevelType w:val="multilevel"/>
    <w:tmpl w:val="29AA8454"/>
    <w:lvl w:ilvl="0">
      <w:start w:val="1"/>
      <w:numFmt w:val="chineseCounting"/>
      <w:suff w:val="nothing"/>
      <w:lvlText w:val="%1、"/>
      <w:lvlJc w:val="left"/>
      <w:pPr>
        <w:tabs>
          <w:tab w:val="num" w:pos="0"/>
        </w:tabs>
        <w:ind w:left="0" w:firstLine="0"/>
      </w:pPr>
      <w:rPr>
        <w:rFonts w:ascii="黑体" w:eastAsia="黑体" w:hAnsi="黑体" w:hint="eastAsia"/>
      </w:rPr>
    </w:lvl>
    <w:lvl w:ilvl="1">
      <w:start w:val="1"/>
      <w:numFmt w:val="chineseCounting"/>
      <w:suff w:val="nothing"/>
      <w:lvlText w:val="（%2）"/>
      <w:lvlJc w:val="left"/>
      <w:pPr>
        <w:tabs>
          <w:tab w:val="num" w:pos="0"/>
        </w:tabs>
        <w:ind w:left="0" w:firstLine="0"/>
      </w:pPr>
      <w:rPr>
        <w:rFonts w:ascii="黑体" w:eastAsia="黑体" w:hAnsi="黑体" w:hint="eastAsia"/>
      </w:rPr>
    </w:lvl>
    <w:lvl w:ilvl="2">
      <w:start w:val="1"/>
      <w:numFmt w:val="decimal"/>
      <w:suff w:val="nothing"/>
      <w:lvlText w:val="%3．"/>
      <w:lvlJc w:val="left"/>
      <w:pPr>
        <w:tabs>
          <w:tab w:val="num" w:pos="0"/>
        </w:tabs>
        <w:ind w:left="0" w:firstLine="400"/>
      </w:pPr>
      <w:rPr>
        <w:rFonts w:ascii="黑体" w:eastAsia="黑体" w:hAnsi="黑体" w:hint="eastAsia"/>
      </w:rPr>
    </w:lvl>
    <w:lvl w:ilvl="3">
      <w:start w:val="1"/>
      <w:numFmt w:val="decimal"/>
      <w:suff w:val="nothing"/>
      <w:lvlText w:val="（%4）"/>
      <w:lvlJc w:val="left"/>
      <w:pPr>
        <w:tabs>
          <w:tab w:val="num" w:pos="0"/>
        </w:tabs>
        <w:ind w:left="0" w:firstLine="402"/>
      </w:pPr>
      <w:rPr>
        <w:rFonts w:ascii="黑体" w:eastAsia="黑体" w:hAnsi="黑体" w:hint="eastAsia"/>
      </w:rPr>
    </w:lvl>
    <w:lvl w:ilvl="4">
      <w:start w:val="1"/>
      <w:numFmt w:val="decimalEnclosedCircleChinese"/>
      <w:pStyle w:val="5"/>
      <w:suff w:val="nothing"/>
      <w:lvlText w:val="%5"/>
      <w:lvlJc w:val="left"/>
      <w:pPr>
        <w:tabs>
          <w:tab w:val="num" w:pos="0"/>
        </w:tabs>
        <w:ind w:left="0" w:firstLine="402"/>
      </w:pPr>
      <w:rPr>
        <w:rFonts w:ascii="黑体" w:eastAsia="黑体" w:hAnsi="黑体" w:hint="eastAsia"/>
      </w:rPr>
    </w:lvl>
    <w:lvl w:ilvl="5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3" w15:restartNumberingAfterBreak="0">
    <w:nsid w:val="3ECB6073"/>
    <w:multiLevelType w:val="singleLevel"/>
    <w:tmpl w:val="3ECB607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794441619">
    <w:abstractNumId w:val="2"/>
  </w:num>
  <w:num w:numId="2" w16cid:durableId="350379708">
    <w:abstractNumId w:val="3"/>
  </w:num>
  <w:num w:numId="3" w16cid:durableId="357394114">
    <w:abstractNumId w:val="1"/>
  </w:num>
  <w:num w:numId="4" w16cid:durableId="1946309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91"/>
    <w:rsid w:val="00024120"/>
    <w:rsid w:val="000F12E0"/>
    <w:rsid w:val="0014504C"/>
    <w:rsid w:val="0017394F"/>
    <w:rsid w:val="00497086"/>
    <w:rsid w:val="004F2442"/>
    <w:rsid w:val="005727B1"/>
    <w:rsid w:val="006513EA"/>
    <w:rsid w:val="00720AE8"/>
    <w:rsid w:val="007F5152"/>
    <w:rsid w:val="009617E2"/>
    <w:rsid w:val="009D4091"/>
    <w:rsid w:val="00AE39EB"/>
    <w:rsid w:val="00C866E4"/>
    <w:rsid w:val="00CE1867"/>
    <w:rsid w:val="00D543C6"/>
    <w:rsid w:val="00E67472"/>
    <w:rsid w:val="00FF38C2"/>
    <w:rsid w:val="063D57B6"/>
    <w:rsid w:val="0A5A5550"/>
    <w:rsid w:val="0D40503E"/>
    <w:rsid w:val="0F0B23F9"/>
    <w:rsid w:val="0F3947FC"/>
    <w:rsid w:val="0F9C5147"/>
    <w:rsid w:val="12B42D57"/>
    <w:rsid w:val="17A76A90"/>
    <w:rsid w:val="1F4C1246"/>
    <w:rsid w:val="202366A3"/>
    <w:rsid w:val="2604392A"/>
    <w:rsid w:val="285F68BA"/>
    <w:rsid w:val="28B0058F"/>
    <w:rsid w:val="2A1A6F3D"/>
    <w:rsid w:val="2A4C2E6E"/>
    <w:rsid w:val="3390201E"/>
    <w:rsid w:val="33BE6B8B"/>
    <w:rsid w:val="33DF1860"/>
    <w:rsid w:val="34B216D4"/>
    <w:rsid w:val="36BB1AA7"/>
    <w:rsid w:val="39A87951"/>
    <w:rsid w:val="3ABC1ED8"/>
    <w:rsid w:val="462F49B1"/>
    <w:rsid w:val="46B219AA"/>
    <w:rsid w:val="46E464B1"/>
    <w:rsid w:val="4DDC6134"/>
    <w:rsid w:val="4ED03E2A"/>
    <w:rsid w:val="52465E67"/>
    <w:rsid w:val="54B8530B"/>
    <w:rsid w:val="60196D73"/>
    <w:rsid w:val="64790728"/>
    <w:rsid w:val="648B3FB8"/>
    <w:rsid w:val="66792E98"/>
    <w:rsid w:val="67780823"/>
    <w:rsid w:val="69662A85"/>
    <w:rsid w:val="6B297923"/>
    <w:rsid w:val="6C33740F"/>
    <w:rsid w:val="6E082167"/>
    <w:rsid w:val="71E52F59"/>
    <w:rsid w:val="72AC3A77"/>
    <w:rsid w:val="747912EA"/>
    <w:rsid w:val="77BB3C0E"/>
    <w:rsid w:val="79C6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D77CCDB"/>
  <w15:chartTrackingRefBased/>
  <w15:docId w15:val="{D20C3569-49B2-48A2-97A0-351B1339F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360" w:lineRule="auto"/>
      <w:outlineLvl w:val="0"/>
    </w:pPr>
    <w:rPr>
      <w:bCs/>
      <w:kern w:val="44"/>
      <w:sz w:val="24"/>
      <w:szCs w:val="44"/>
    </w:rPr>
  </w:style>
  <w:style w:type="paragraph" w:styleId="4">
    <w:name w:val="heading 4"/>
    <w:basedOn w:val="a"/>
    <w:next w:val="a0"/>
    <w:qFormat/>
    <w:pPr>
      <w:spacing w:before="100" w:beforeAutospacing="1" w:after="100" w:afterAutospacing="1"/>
      <w:jc w:val="left"/>
      <w:outlineLvl w:val="3"/>
    </w:pPr>
    <w:rPr>
      <w:rFonts w:ascii="宋体" w:hAnsi="宋体" w:hint="eastAsia"/>
      <w:b/>
      <w:bCs/>
      <w:kern w:val="0"/>
      <w:sz w:val="24"/>
    </w:rPr>
  </w:style>
  <w:style w:type="paragraph" w:styleId="5">
    <w:name w:val="heading 5"/>
    <w:basedOn w:val="a"/>
    <w:next w:val="a0"/>
    <w:uiPriority w:val="9"/>
    <w:qFormat/>
    <w:pPr>
      <w:keepNext/>
      <w:keepLines/>
      <w:numPr>
        <w:ilvl w:val="4"/>
        <w:numId w:val="1"/>
      </w:numPr>
      <w:tabs>
        <w:tab w:val="left" w:pos="0"/>
      </w:tabs>
      <w:spacing w:before="200"/>
      <w:outlineLvl w:val="4"/>
    </w:pPr>
    <w:rPr>
      <w:rFonts w:ascii="微软雅黑" w:eastAsia="微软雅黑" w:hAnsi="微软雅黑"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  <w:ind w:firstLineChars="200" w:firstLine="560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1"/>
    <w:link w:val="a4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1"/>
    <w:qFormat/>
    <w:rPr>
      <w:b/>
    </w:rPr>
  </w:style>
  <w:style w:type="paragraph" w:customStyle="1" w:styleId="a9">
    <w:name w:val="段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10">
    <w:name w:val="修订1"/>
    <w:uiPriority w:val="99"/>
    <w:unhideWhenUsed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1819</Words>
  <Characters>2130</Characters>
  <Application>Microsoft Office Word</Application>
  <DocSecurity>0</DocSecurity>
  <Lines>142</Lines>
  <Paragraphs>207</Paragraphs>
  <ScaleCrop>false</ScaleCrop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勇往直前的人</dc:creator>
  <cp:keywords/>
  <cp:lastModifiedBy>姚晨之</cp:lastModifiedBy>
  <cp:revision>4</cp:revision>
  <dcterms:created xsi:type="dcterms:W3CDTF">2025-09-10T07:38:00Z</dcterms:created>
  <dcterms:modified xsi:type="dcterms:W3CDTF">2025-09-10T07:51:00Z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eyJoZGlkIjoiZmZkNWFmYjBhNjQ4YTFkOGU0NTRmNjFjNTE2ZjEzZTAiLCJ1c2VySWQiOiIxMjAzODk5MTU3In0=</vt:lpwstr>
  </property>
  <property fmtid="{D5CDD505-2E9C-101B-9397-08002B2CF9AE}" pid="4" name="ICV">
    <vt:lpwstr>C5AA795186B74E949931F0CF11C294B8_13</vt:lpwstr>
  </property>
</Properties>
</file>